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4B4372" w14:textId="10F90DC6" w:rsidR="00A848D9" w:rsidRPr="00D15D41" w:rsidRDefault="00A848D9">
      <w:pPr>
        <w:rPr>
          <w:rFonts w:ascii="Times New Roman" w:hAnsi="Times New Roman" w:cs="Times New Roman"/>
          <w:b/>
          <w:bCs/>
          <w:sz w:val="28"/>
          <w:szCs w:val="28"/>
        </w:rPr>
      </w:pPr>
      <w:r w:rsidRPr="00D15D41">
        <w:rPr>
          <w:rFonts w:ascii="Times New Roman" w:hAnsi="Times New Roman" w:cs="Times New Roman"/>
          <w:b/>
          <w:bCs/>
          <w:sz w:val="28"/>
          <w:szCs w:val="28"/>
        </w:rPr>
        <w:t xml:space="preserve">Fostering Social Engagement in SLA with Oral Histories: Practical Guidance for Teachers and Teacher Trainers </w:t>
      </w:r>
    </w:p>
    <w:p w14:paraId="7ED38834" w14:textId="77777777" w:rsidR="00A848D9" w:rsidRPr="00D15D41" w:rsidRDefault="00A848D9">
      <w:pPr>
        <w:rPr>
          <w:rFonts w:ascii="Times New Roman" w:hAnsi="Times New Roman" w:cs="Times New Roman"/>
          <w:b/>
          <w:bCs/>
          <w:sz w:val="24"/>
          <w:szCs w:val="24"/>
        </w:rPr>
      </w:pPr>
    </w:p>
    <w:p w14:paraId="175C4FDF" w14:textId="0BA08D5A" w:rsidR="00BE3BE1" w:rsidRPr="00D15D41" w:rsidRDefault="00A848D9">
      <w:pPr>
        <w:rPr>
          <w:rFonts w:ascii="Times New Roman" w:hAnsi="Times New Roman" w:cs="Times New Roman"/>
          <w:b/>
          <w:bCs/>
          <w:sz w:val="24"/>
          <w:szCs w:val="24"/>
        </w:rPr>
      </w:pPr>
      <w:r w:rsidRPr="00D15D41">
        <w:rPr>
          <w:rFonts w:ascii="Times New Roman" w:hAnsi="Times New Roman" w:cs="Times New Roman"/>
          <w:b/>
          <w:bCs/>
          <w:sz w:val="24"/>
          <w:szCs w:val="24"/>
        </w:rPr>
        <w:t>Brent Jones</w:t>
      </w:r>
      <w:r w:rsidR="001D13AA" w:rsidRPr="00D15D41">
        <w:rPr>
          <w:rFonts w:ascii="Times New Roman" w:hAnsi="Times New Roman" w:cs="Times New Roman"/>
          <w:b/>
          <w:bCs/>
          <w:sz w:val="24"/>
          <w:szCs w:val="24"/>
        </w:rPr>
        <w:t xml:space="preserve">, </w:t>
      </w:r>
      <w:r w:rsidRPr="00D15D41">
        <w:rPr>
          <w:rFonts w:ascii="Times New Roman" w:hAnsi="Times New Roman" w:cs="Times New Roman"/>
          <w:b/>
          <w:bCs/>
          <w:sz w:val="24"/>
          <w:szCs w:val="24"/>
        </w:rPr>
        <w:t>Japan</w:t>
      </w:r>
    </w:p>
    <w:p w14:paraId="75109CA8" w14:textId="77777777" w:rsidR="001D13AA" w:rsidRPr="001D13AA" w:rsidRDefault="001D13AA">
      <w:pPr>
        <w:rPr>
          <w:rFonts w:ascii="Times New Roman" w:hAnsi="Times New Roman" w:cs="Times New Roman"/>
          <w:sz w:val="24"/>
          <w:szCs w:val="24"/>
        </w:rPr>
      </w:pPr>
    </w:p>
    <w:p w14:paraId="30F025F7" w14:textId="7067E7AF" w:rsidR="001D13AA" w:rsidRPr="001D13AA" w:rsidRDefault="001D13AA">
      <w:pPr>
        <w:rPr>
          <w:rFonts w:ascii="Times New Roman" w:hAnsi="Times New Roman" w:cs="Times New Roman"/>
          <w:sz w:val="24"/>
          <w:szCs w:val="24"/>
        </w:rPr>
      </w:pPr>
      <w:r w:rsidRPr="001D13AA">
        <w:rPr>
          <w:rFonts w:ascii="Times New Roman" w:hAnsi="Times New Roman" w:cs="Times New Roman"/>
          <w:sz w:val="24"/>
          <w:szCs w:val="24"/>
        </w:rPr>
        <w:t>Brent A. Jones is a Professor and Director of Language Programs at the Hirao School of Management (CUBE) at Konan University in Japan. His interests include second-language learning motivation, learner engagement, Content and Language Integrated Learning (CLIL), Project-Based Learning (PBL), team-based learning, instructional technology, and AI integration in education. Email: bjones@konan-u.ac.jp</w:t>
      </w:r>
    </w:p>
    <w:p w14:paraId="29041C5A" w14:textId="7BA9ED18" w:rsidR="00A848D9" w:rsidRPr="001D13AA" w:rsidRDefault="001D13AA">
      <w:pPr>
        <w:rPr>
          <w:rFonts w:ascii="Times New Roman" w:hAnsi="Times New Roman" w:cs="Times New Roman"/>
          <w:b/>
          <w:bCs/>
          <w:sz w:val="24"/>
          <w:szCs w:val="24"/>
        </w:rPr>
      </w:pPr>
      <w:r w:rsidRPr="001D13AA">
        <w:rPr>
          <w:rFonts w:ascii="Times New Roman" w:hAnsi="Times New Roman" w:cs="Times New Roman"/>
          <w:b/>
          <w:bCs/>
          <w:sz w:val="24"/>
          <w:szCs w:val="24"/>
        </w:rPr>
        <w:t>Editorial</w:t>
      </w:r>
    </w:p>
    <w:p w14:paraId="46DAD484" w14:textId="7B5D9C4C" w:rsidR="001D13AA" w:rsidRPr="001D13AA" w:rsidRDefault="001D13AA">
      <w:pPr>
        <w:rPr>
          <w:rFonts w:ascii="Times New Roman" w:hAnsi="Times New Roman" w:cs="Times New Roman"/>
          <w:sz w:val="24"/>
          <w:szCs w:val="24"/>
        </w:rPr>
      </w:pPr>
      <w:r w:rsidRPr="001D13AA">
        <w:rPr>
          <w:rFonts w:ascii="Times New Roman" w:hAnsi="Times New Roman" w:cs="Times New Roman"/>
          <w:sz w:val="24"/>
          <w:szCs w:val="24"/>
        </w:rPr>
        <w:t>This article is based on a talk given by the presenter at the GILE SIG Forum at Pan-SIG 2025 in Chiba. Reprinted by permission form GLOBAL ISSUES IN LANGUAGE EDUCATION NEWSLETTER, Issue #135 July 2025 Tottori, Japan.</w:t>
      </w:r>
    </w:p>
    <w:p w14:paraId="32204DA9" w14:textId="77777777" w:rsidR="00A848D9" w:rsidRPr="001D13AA" w:rsidRDefault="00A848D9">
      <w:pPr>
        <w:rPr>
          <w:rFonts w:ascii="Times New Roman" w:hAnsi="Times New Roman" w:cs="Times New Roman"/>
          <w:b/>
          <w:bCs/>
          <w:sz w:val="24"/>
          <w:szCs w:val="24"/>
        </w:rPr>
      </w:pPr>
      <w:r w:rsidRPr="001D13AA">
        <w:rPr>
          <w:rFonts w:ascii="Times New Roman" w:hAnsi="Times New Roman" w:cs="Times New Roman"/>
          <w:b/>
          <w:bCs/>
          <w:sz w:val="24"/>
          <w:szCs w:val="24"/>
        </w:rPr>
        <w:t xml:space="preserve">Introduction </w:t>
      </w:r>
    </w:p>
    <w:p w14:paraId="1F36A061" w14:textId="77777777" w:rsidR="00A848D9" w:rsidRPr="001D13AA" w:rsidRDefault="00A848D9">
      <w:pPr>
        <w:rPr>
          <w:rFonts w:ascii="Times New Roman" w:hAnsi="Times New Roman" w:cs="Times New Roman"/>
          <w:sz w:val="24"/>
          <w:szCs w:val="24"/>
        </w:rPr>
      </w:pPr>
      <w:r w:rsidRPr="001D13AA">
        <w:rPr>
          <w:rFonts w:ascii="Times New Roman" w:hAnsi="Times New Roman" w:cs="Times New Roman"/>
          <w:sz w:val="24"/>
          <w:szCs w:val="24"/>
        </w:rPr>
        <w:t xml:space="preserve">Oral history (OH) projects ask students to record, transcribe, and share the lived experiences of real people. When embedded in </w:t>
      </w:r>
      <w:proofErr w:type="gramStart"/>
      <w:r w:rsidRPr="001D13AA">
        <w:rPr>
          <w:rFonts w:ascii="Times New Roman" w:hAnsi="Times New Roman" w:cs="Times New Roman"/>
          <w:sz w:val="24"/>
          <w:szCs w:val="24"/>
        </w:rPr>
        <w:t>second-language</w:t>
      </w:r>
      <w:proofErr w:type="gramEnd"/>
      <w:r w:rsidRPr="001D13AA">
        <w:rPr>
          <w:rFonts w:ascii="Times New Roman" w:hAnsi="Times New Roman" w:cs="Times New Roman"/>
          <w:sz w:val="24"/>
          <w:szCs w:val="24"/>
        </w:rPr>
        <w:t xml:space="preserve"> (L2) classes, they turn abstract grammar and vocabulary lessons into authentic, community-facing tasks that build intercultural empathy, critical thinking, and communicative confidence. </w:t>
      </w:r>
    </w:p>
    <w:p w14:paraId="3560257F" w14:textId="77777777" w:rsidR="00A848D9" w:rsidRPr="001D13AA" w:rsidRDefault="00A848D9">
      <w:pPr>
        <w:rPr>
          <w:rFonts w:ascii="Times New Roman" w:hAnsi="Times New Roman" w:cs="Times New Roman"/>
          <w:sz w:val="24"/>
          <w:szCs w:val="24"/>
        </w:rPr>
      </w:pPr>
      <w:r w:rsidRPr="001D13AA">
        <w:rPr>
          <w:rFonts w:ascii="Times New Roman" w:hAnsi="Times New Roman" w:cs="Times New Roman"/>
          <w:sz w:val="24"/>
          <w:szCs w:val="24"/>
        </w:rPr>
        <w:t xml:space="preserve">Drawing on 14 years of project-based CLIL experience in a Japanese university, this article </w:t>
      </w:r>
      <w:proofErr w:type="spellStart"/>
      <w:r w:rsidRPr="001D13AA">
        <w:rPr>
          <w:rFonts w:ascii="Times New Roman" w:hAnsi="Times New Roman" w:cs="Times New Roman"/>
          <w:sz w:val="24"/>
          <w:szCs w:val="24"/>
        </w:rPr>
        <w:t>distills</w:t>
      </w:r>
      <w:proofErr w:type="spellEnd"/>
      <w:r w:rsidRPr="001D13AA">
        <w:rPr>
          <w:rFonts w:ascii="Times New Roman" w:hAnsi="Times New Roman" w:cs="Times New Roman"/>
          <w:sz w:val="24"/>
          <w:szCs w:val="24"/>
        </w:rPr>
        <w:t xml:space="preserve"> the what, why and – above all – the how of OH for teachers who want a quick, practical blueprint. Findings from three cohorts (2019, 2022, 2024) are reduced to six student-generated themes to show what works and what to watch out for. </w:t>
      </w:r>
    </w:p>
    <w:p w14:paraId="30AD4A7A" w14:textId="77777777" w:rsidR="00A848D9" w:rsidRPr="001D13AA" w:rsidRDefault="00A848D9">
      <w:pPr>
        <w:rPr>
          <w:rFonts w:ascii="Times New Roman" w:hAnsi="Times New Roman" w:cs="Times New Roman"/>
          <w:b/>
          <w:bCs/>
          <w:sz w:val="24"/>
          <w:szCs w:val="24"/>
        </w:rPr>
      </w:pPr>
      <w:r w:rsidRPr="001D13AA">
        <w:rPr>
          <w:rFonts w:ascii="Times New Roman" w:hAnsi="Times New Roman" w:cs="Times New Roman"/>
          <w:b/>
          <w:bCs/>
          <w:sz w:val="24"/>
          <w:szCs w:val="24"/>
        </w:rPr>
        <w:t xml:space="preserve">1. What is an oral history? </w:t>
      </w:r>
    </w:p>
    <w:p w14:paraId="6E42970D" w14:textId="77777777" w:rsidR="00A848D9" w:rsidRPr="001D13AA" w:rsidRDefault="00A848D9">
      <w:pPr>
        <w:rPr>
          <w:rFonts w:ascii="Times New Roman" w:hAnsi="Times New Roman" w:cs="Times New Roman"/>
          <w:sz w:val="24"/>
          <w:szCs w:val="24"/>
        </w:rPr>
      </w:pPr>
      <w:r w:rsidRPr="001D13AA">
        <w:rPr>
          <w:rFonts w:ascii="Times New Roman" w:hAnsi="Times New Roman" w:cs="Times New Roman"/>
          <w:sz w:val="24"/>
          <w:szCs w:val="24"/>
        </w:rPr>
        <w:t xml:space="preserve">An oral history is a recorded first-person narrative collected through one or more semi- structured interviews and archived—usually as audio/video plus a verbatim transcript. Unlike impromptu “chatting with locals”, OH projects follow basic scholarly standards: </w:t>
      </w:r>
    </w:p>
    <w:p w14:paraId="0BF7A9A8" w14:textId="77777777" w:rsidR="00A848D9" w:rsidRPr="001D13AA" w:rsidRDefault="00A848D9">
      <w:pPr>
        <w:rPr>
          <w:rFonts w:ascii="Times New Roman" w:hAnsi="Times New Roman" w:cs="Times New Roman"/>
          <w:sz w:val="24"/>
          <w:szCs w:val="24"/>
        </w:rPr>
      </w:pPr>
      <w:r w:rsidRPr="001D13AA">
        <w:rPr>
          <w:rFonts w:ascii="Times New Roman" w:hAnsi="Times New Roman" w:cs="Times New Roman"/>
          <w:sz w:val="24"/>
          <w:szCs w:val="24"/>
        </w:rPr>
        <w:t xml:space="preserve">• Planning – topic focus, background research, informed consent. </w:t>
      </w:r>
    </w:p>
    <w:p w14:paraId="6B35FF94" w14:textId="77777777" w:rsidR="00A848D9" w:rsidRPr="001D13AA" w:rsidRDefault="00A848D9">
      <w:pPr>
        <w:rPr>
          <w:rFonts w:ascii="Times New Roman" w:hAnsi="Times New Roman" w:cs="Times New Roman"/>
          <w:sz w:val="24"/>
          <w:szCs w:val="24"/>
        </w:rPr>
      </w:pPr>
      <w:r w:rsidRPr="001D13AA">
        <w:rPr>
          <w:rFonts w:ascii="Times New Roman" w:hAnsi="Times New Roman" w:cs="Times New Roman"/>
          <w:sz w:val="24"/>
          <w:szCs w:val="24"/>
        </w:rPr>
        <w:t xml:space="preserve">• Recording – high-quality audio/video, back-up device. </w:t>
      </w:r>
    </w:p>
    <w:p w14:paraId="77C61480" w14:textId="77777777" w:rsidR="00A848D9" w:rsidRPr="001D13AA" w:rsidRDefault="00A848D9">
      <w:pPr>
        <w:rPr>
          <w:rFonts w:ascii="Times New Roman" w:hAnsi="Times New Roman" w:cs="Times New Roman"/>
          <w:sz w:val="24"/>
          <w:szCs w:val="24"/>
        </w:rPr>
      </w:pPr>
      <w:r w:rsidRPr="001D13AA">
        <w:rPr>
          <w:rFonts w:ascii="Times New Roman" w:hAnsi="Times New Roman" w:cs="Times New Roman"/>
          <w:sz w:val="24"/>
          <w:szCs w:val="24"/>
        </w:rPr>
        <w:t xml:space="preserve">• Processing – accurate transcription, translation if required, and participant approval. </w:t>
      </w:r>
    </w:p>
    <w:p w14:paraId="6EF660B8" w14:textId="77777777" w:rsidR="00A848D9" w:rsidRPr="001D13AA" w:rsidRDefault="00A848D9">
      <w:pPr>
        <w:rPr>
          <w:rFonts w:ascii="Times New Roman" w:hAnsi="Times New Roman" w:cs="Times New Roman"/>
          <w:sz w:val="24"/>
          <w:szCs w:val="24"/>
        </w:rPr>
      </w:pPr>
      <w:r w:rsidRPr="001D13AA">
        <w:rPr>
          <w:rFonts w:ascii="Times New Roman" w:hAnsi="Times New Roman" w:cs="Times New Roman"/>
          <w:sz w:val="24"/>
          <w:szCs w:val="24"/>
        </w:rPr>
        <w:t xml:space="preserve">• Sharing – classroom presentations, podcasts, websites, or community events. </w:t>
      </w:r>
    </w:p>
    <w:p w14:paraId="226E0B01" w14:textId="77777777" w:rsidR="00A848D9" w:rsidRPr="001D13AA" w:rsidRDefault="00A848D9">
      <w:pPr>
        <w:rPr>
          <w:rFonts w:ascii="Times New Roman" w:hAnsi="Times New Roman" w:cs="Times New Roman"/>
          <w:b/>
          <w:bCs/>
          <w:sz w:val="24"/>
          <w:szCs w:val="24"/>
        </w:rPr>
      </w:pPr>
      <w:r w:rsidRPr="001D13AA">
        <w:rPr>
          <w:rFonts w:ascii="Times New Roman" w:hAnsi="Times New Roman" w:cs="Times New Roman"/>
          <w:b/>
          <w:bCs/>
          <w:sz w:val="24"/>
          <w:szCs w:val="24"/>
        </w:rPr>
        <w:t xml:space="preserve">2. Why use OH in SLA / CLIL courses? </w:t>
      </w:r>
    </w:p>
    <w:p w14:paraId="06BA4303" w14:textId="77777777" w:rsidR="00A848D9" w:rsidRPr="001D13AA" w:rsidRDefault="00A848D9">
      <w:pPr>
        <w:rPr>
          <w:rFonts w:ascii="Times New Roman" w:hAnsi="Times New Roman" w:cs="Times New Roman"/>
          <w:sz w:val="24"/>
          <w:szCs w:val="24"/>
        </w:rPr>
      </w:pPr>
      <w:r w:rsidRPr="001D13AA">
        <w:rPr>
          <w:rFonts w:ascii="Times New Roman" w:hAnsi="Times New Roman" w:cs="Times New Roman"/>
          <w:sz w:val="24"/>
          <w:szCs w:val="24"/>
        </w:rPr>
        <w:t xml:space="preserve">The chart below summarizes key OH benefits: </w:t>
      </w:r>
    </w:p>
    <w:p w14:paraId="255988FA" w14:textId="77777777" w:rsidR="00A848D9" w:rsidRPr="001D13AA" w:rsidRDefault="00A848D9" w:rsidP="00A848D9">
      <w:pPr>
        <w:jc w:val="center"/>
        <w:rPr>
          <w:rFonts w:ascii="Times New Roman" w:hAnsi="Times New Roman" w:cs="Times New Roman"/>
          <w:sz w:val="24"/>
          <w:szCs w:val="24"/>
        </w:rPr>
      </w:pPr>
      <w:r w:rsidRPr="001D13AA">
        <w:rPr>
          <w:rFonts w:ascii="Times New Roman" w:hAnsi="Times New Roman" w:cs="Times New Roman"/>
          <w:noProof/>
          <w:sz w:val="24"/>
          <w:szCs w:val="24"/>
        </w:rPr>
        <w:lastRenderedPageBreak/>
        <w:drawing>
          <wp:inline distT="0" distB="0" distL="0" distR="0" wp14:anchorId="7E47D0C6" wp14:editId="167EF24F">
            <wp:extent cx="3128243" cy="2736000"/>
            <wp:effectExtent l="0" t="0" r="0" b="7620"/>
            <wp:docPr id="1013624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28243" cy="2736000"/>
                    </a:xfrm>
                    <a:prstGeom prst="rect">
                      <a:avLst/>
                    </a:prstGeom>
                    <a:noFill/>
                    <a:ln>
                      <a:noFill/>
                    </a:ln>
                  </pic:spPr>
                </pic:pic>
              </a:graphicData>
            </a:graphic>
          </wp:inline>
        </w:drawing>
      </w:r>
    </w:p>
    <w:p w14:paraId="57B38C11" w14:textId="77777777" w:rsidR="00A848D9" w:rsidRPr="001D13AA" w:rsidRDefault="00A848D9" w:rsidP="00A848D9">
      <w:pPr>
        <w:rPr>
          <w:rFonts w:ascii="Times New Roman" w:hAnsi="Times New Roman" w:cs="Times New Roman"/>
          <w:sz w:val="24"/>
          <w:szCs w:val="24"/>
        </w:rPr>
      </w:pPr>
      <w:r w:rsidRPr="001D13AA">
        <w:rPr>
          <w:rFonts w:ascii="Times New Roman" w:hAnsi="Times New Roman" w:cs="Times New Roman"/>
          <w:i/>
          <w:iCs/>
          <w:sz w:val="24"/>
          <w:szCs w:val="24"/>
        </w:rPr>
        <w:t xml:space="preserve">Teacher takeaway: </w:t>
      </w:r>
      <w:proofErr w:type="gramStart"/>
      <w:r w:rsidRPr="001D13AA">
        <w:rPr>
          <w:rFonts w:ascii="Times New Roman" w:hAnsi="Times New Roman" w:cs="Times New Roman"/>
          <w:i/>
          <w:iCs/>
          <w:sz w:val="24"/>
          <w:szCs w:val="24"/>
        </w:rPr>
        <w:t>OH</w:t>
      </w:r>
      <w:proofErr w:type="gramEnd"/>
      <w:r w:rsidRPr="001D13AA">
        <w:rPr>
          <w:rFonts w:ascii="Times New Roman" w:hAnsi="Times New Roman" w:cs="Times New Roman"/>
          <w:i/>
          <w:iCs/>
          <w:sz w:val="24"/>
          <w:szCs w:val="24"/>
        </w:rPr>
        <w:t xml:space="preserve"> ticks the boxes for </w:t>
      </w:r>
      <w:proofErr w:type="spellStart"/>
      <w:r w:rsidRPr="001D13AA">
        <w:rPr>
          <w:rFonts w:ascii="Times New Roman" w:hAnsi="Times New Roman" w:cs="Times New Roman"/>
          <w:i/>
          <w:iCs/>
          <w:sz w:val="24"/>
          <w:szCs w:val="24"/>
        </w:rPr>
        <w:t>experi</w:t>
      </w:r>
      <w:proofErr w:type="spellEnd"/>
      <w:r w:rsidRPr="001D13AA">
        <w:rPr>
          <w:rFonts w:ascii="Times New Roman" w:hAnsi="Times New Roman" w:cs="Times New Roman"/>
          <w:i/>
          <w:iCs/>
          <w:sz w:val="24"/>
          <w:szCs w:val="24"/>
        </w:rPr>
        <w:t xml:space="preserve"> </w:t>
      </w:r>
      <w:proofErr w:type="spellStart"/>
      <w:r w:rsidRPr="001D13AA">
        <w:rPr>
          <w:rFonts w:ascii="Times New Roman" w:hAnsi="Times New Roman" w:cs="Times New Roman"/>
          <w:i/>
          <w:iCs/>
          <w:sz w:val="24"/>
          <w:szCs w:val="24"/>
        </w:rPr>
        <w:t>ential</w:t>
      </w:r>
      <w:proofErr w:type="spellEnd"/>
      <w:r w:rsidRPr="001D13AA">
        <w:rPr>
          <w:rFonts w:ascii="Times New Roman" w:hAnsi="Times New Roman" w:cs="Times New Roman"/>
          <w:i/>
          <w:iCs/>
          <w:sz w:val="24"/>
          <w:szCs w:val="24"/>
        </w:rPr>
        <w:t xml:space="preserve"> learning, task-based lg. teaching and CLIL without needing expensive technology or travel.</w:t>
      </w:r>
      <w:r w:rsidRPr="001D13AA">
        <w:rPr>
          <w:rFonts w:ascii="Times New Roman" w:hAnsi="Times New Roman" w:cs="Times New Roman"/>
          <w:sz w:val="24"/>
          <w:szCs w:val="24"/>
        </w:rPr>
        <w:t xml:space="preserve"> </w:t>
      </w:r>
    </w:p>
    <w:p w14:paraId="19B94720" w14:textId="77777777" w:rsidR="00A848D9" w:rsidRPr="001D13AA" w:rsidRDefault="00A848D9" w:rsidP="00A848D9">
      <w:pPr>
        <w:rPr>
          <w:rFonts w:ascii="Times New Roman" w:hAnsi="Times New Roman" w:cs="Times New Roman"/>
          <w:sz w:val="24"/>
          <w:szCs w:val="24"/>
        </w:rPr>
      </w:pPr>
      <w:r w:rsidRPr="001D13AA">
        <w:rPr>
          <w:rFonts w:ascii="Times New Roman" w:hAnsi="Times New Roman" w:cs="Times New Roman"/>
          <w:b/>
          <w:bCs/>
          <w:sz w:val="24"/>
          <w:szCs w:val="24"/>
        </w:rPr>
        <w:t>3. How to run an OH project: A 6-step roadmap</w:t>
      </w:r>
      <w:r w:rsidRPr="001D13AA">
        <w:rPr>
          <w:rFonts w:ascii="Times New Roman" w:hAnsi="Times New Roman" w:cs="Times New Roman"/>
          <w:sz w:val="24"/>
          <w:szCs w:val="24"/>
        </w:rPr>
        <w:t xml:space="preserve"> </w:t>
      </w:r>
    </w:p>
    <w:p w14:paraId="7E8B54B7" w14:textId="77777777" w:rsidR="00A848D9" w:rsidRPr="001D13AA" w:rsidRDefault="00A848D9" w:rsidP="00A848D9">
      <w:pPr>
        <w:rPr>
          <w:rFonts w:ascii="Times New Roman" w:hAnsi="Times New Roman" w:cs="Times New Roman"/>
          <w:sz w:val="24"/>
          <w:szCs w:val="24"/>
        </w:rPr>
      </w:pPr>
      <w:r w:rsidRPr="001D13AA">
        <w:rPr>
          <w:rFonts w:ascii="Times New Roman" w:hAnsi="Times New Roman" w:cs="Times New Roman"/>
          <w:sz w:val="24"/>
          <w:szCs w:val="24"/>
        </w:rPr>
        <w:t>Step 1 Kick-off and Ethics (Week 1) Brief students on OH purpose, showcase sample projects (</w:t>
      </w:r>
      <w:proofErr w:type="spellStart"/>
      <w:r w:rsidRPr="001D13AA">
        <w:rPr>
          <w:rFonts w:ascii="Times New Roman" w:hAnsi="Times New Roman" w:cs="Times New Roman"/>
          <w:sz w:val="24"/>
          <w:szCs w:val="24"/>
        </w:rPr>
        <w:t>Densho</w:t>
      </w:r>
      <w:proofErr w:type="spellEnd"/>
      <w:r w:rsidRPr="001D13AA">
        <w:rPr>
          <w:rFonts w:ascii="Times New Roman" w:hAnsi="Times New Roman" w:cs="Times New Roman"/>
          <w:sz w:val="24"/>
          <w:szCs w:val="24"/>
        </w:rPr>
        <w:t xml:space="preserve">, StoryCorps) and cover consent forms, anonymity options, respectful questioning. </w:t>
      </w:r>
    </w:p>
    <w:p w14:paraId="5F35A513" w14:textId="77777777" w:rsidR="00A848D9" w:rsidRPr="001D13AA" w:rsidRDefault="00A848D9" w:rsidP="00A848D9">
      <w:pPr>
        <w:rPr>
          <w:rFonts w:ascii="Times New Roman" w:hAnsi="Times New Roman" w:cs="Times New Roman"/>
          <w:sz w:val="24"/>
          <w:szCs w:val="24"/>
        </w:rPr>
      </w:pPr>
      <w:r w:rsidRPr="001D13AA">
        <w:rPr>
          <w:rFonts w:ascii="Times New Roman" w:hAnsi="Times New Roman" w:cs="Times New Roman"/>
          <w:sz w:val="24"/>
          <w:szCs w:val="24"/>
        </w:rPr>
        <w:t xml:space="preserve">Step 2 Topic &amp; interviewee hunt (Week 2) Brainstorm community themes: migration stories, local businesses, wartime memories, sustainability practices, etc. Use a shared spreadsheet for listing up contact leads. Each pair/group needs to secure at least one willing participant. </w:t>
      </w:r>
    </w:p>
    <w:p w14:paraId="3F34F3C9" w14:textId="77777777" w:rsidR="00A848D9" w:rsidRPr="001D13AA" w:rsidRDefault="00A848D9" w:rsidP="00A848D9">
      <w:pPr>
        <w:rPr>
          <w:rFonts w:ascii="Times New Roman" w:hAnsi="Times New Roman" w:cs="Times New Roman"/>
          <w:sz w:val="24"/>
          <w:szCs w:val="24"/>
        </w:rPr>
      </w:pPr>
      <w:r w:rsidRPr="001D13AA">
        <w:rPr>
          <w:rFonts w:ascii="Times New Roman" w:hAnsi="Times New Roman" w:cs="Times New Roman"/>
          <w:sz w:val="24"/>
          <w:szCs w:val="24"/>
        </w:rPr>
        <w:t xml:space="preserve">Step 3 Question design &amp; rehearsal (Weeks 3-4) Teach open vs. closed questions, follow-ups and cultural sensitivity. Run mock interviews in class. Have students record and evaluate themselves to improve clarity, pace and proper body language. </w:t>
      </w:r>
    </w:p>
    <w:p w14:paraId="5EBC164B" w14:textId="77777777" w:rsidR="00A848D9" w:rsidRPr="001D13AA" w:rsidRDefault="00A848D9" w:rsidP="00A848D9">
      <w:pPr>
        <w:rPr>
          <w:rFonts w:ascii="Times New Roman" w:hAnsi="Times New Roman" w:cs="Times New Roman"/>
          <w:sz w:val="24"/>
          <w:szCs w:val="24"/>
        </w:rPr>
      </w:pPr>
      <w:r w:rsidRPr="001D13AA">
        <w:rPr>
          <w:rFonts w:ascii="Times New Roman" w:hAnsi="Times New Roman" w:cs="Times New Roman"/>
          <w:sz w:val="24"/>
          <w:szCs w:val="24"/>
        </w:rPr>
        <w:t xml:space="preserve">Step 4 Fieldwork (Weeks 5-6) Students conduct 30-60-minute interviews with their subjects, either off-campus or online. Require them to use dual recording devices and have a simple back-up plan (phone hotspot, power bank). </w:t>
      </w:r>
    </w:p>
    <w:p w14:paraId="2E6ABB90" w14:textId="77777777" w:rsidR="00A848D9" w:rsidRPr="001D13AA" w:rsidRDefault="00A848D9" w:rsidP="00A848D9">
      <w:pPr>
        <w:rPr>
          <w:rFonts w:ascii="Times New Roman" w:hAnsi="Times New Roman" w:cs="Times New Roman"/>
          <w:sz w:val="24"/>
          <w:szCs w:val="24"/>
        </w:rPr>
      </w:pPr>
      <w:r w:rsidRPr="001D13AA">
        <w:rPr>
          <w:rFonts w:ascii="Times New Roman" w:hAnsi="Times New Roman" w:cs="Times New Roman"/>
          <w:sz w:val="24"/>
          <w:szCs w:val="24"/>
        </w:rPr>
        <w:t xml:space="preserve">Step 5 Processing &amp; analysis (Weeks 7-9) Use free tools (such as </w:t>
      </w:r>
      <w:proofErr w:type="spellStart"/>
      <w:r w:rsidRPr="001D13AA">
        <w:rPr>
          <w:rFonts w:ascii="Times New Roman" w:hAnsi="Times New Roman" w:cs="Times New Roman"/>
          <w:sz w:val="24"/>
          <w:szCs w:val="24"/>
        </w:rPr>
        <w:t>oTranscribe</w:t>
      </w:r>
      <w:proofErr w:type="spellEnd"/>
      <w:r w:rsidRPr="001D13AA">
        <w:rPr>
          <w:rFonts w:ascii="Times New Roman" w:hAnsi="Times New Roman" w:cs="Times New Roman"/>
          <w:sz w:val="24"/>
          <w:szCs w:val="24"/>
        </w:rPr>
        <w:t xml:space="preserve"> or YouTube auto-captions) for first drafts; then correct while listening at 0.75× speed. Groups tag excerpts under emerging themes (e.g., "resilience", "innovation"). </w:t>
      </w:r>
    </w:p>
    <w:p w14:paraId="526619A3" w14:textId="77777777" w:rsidR="00A848D9" w:rsidRPr="001D13AA" w:rsidRDefault="00A848D9" w:rsidP="00A848D9">
      <w:pPr>
        <w:rPr>
          <w:rFonts w:ascii="Times New Roman" w:hAnsi="Times New Roman" w:cs="Times New Roman"/>
          <w:sz w:val="24"/>
          <w:szCs w:val="24"/>
        </w:rPr>
      </w:pPr>
      <w:r w:rsidRPr="001D13AA">
        <w:rPr>
          <w:rFonts w:ascii="Times New Roman" w:hAnsi="Times New Roman" w:cs="Times New Roman"/>
          <w:sz w:val="24"/>
          <w:szCs w:val="24"/>
        </w:rPr>
        <w:t xml:space="preserve">Step 6 Public product / reflection (Weeks 10-12) </w:t>
      </w:r>
    </w:p>
    <w:p w14:paraId="3AFE8888" w14:textId="77777777" w:rsidR="00A848D9" w:rsidRPr="001D13AA" w:rsidRDefault="00A848D9" w:rsidP="00A848D9">
      <w:pPr>
        <w:rPr>
          <w:rFonts w:ascii="Times New Roman" w:hAnsi="Times New Roman" w:cs="Times New Roman"/>
          <w:sz w:val="24"/>
          <w:szCs w:val="24"/>
        </w:rPr>
      </w:pPr>
      <w:r w:rsidRPr="001D13AA">
        <w:rPr>
          <w:rFonts w:ascii="Times New Roman" w:hAnsi="Times New Roman" w:cs="Times New Roman"/>
          <w:sz w:val="24"/>
          <w:szCs w:val="24"/>
        </w:rPr>
        <w:t xml:space="preserve">Options: poster session, short documentary, podcast episode, bilingual website. Grade with a rubric balancing language accuracy (30%), content depth (30%), teamwork &amp; project management (20%), and reflection (20%). Finish with guided reflection prompts: “What surprised you most about your interviewee’s story? What did this experience teach you about language use?” </w:t>
      </w:r>
    </w:p>
    <w:p w14:paraId="1A286E2E" w14:textId="77777777" w:rsidR="00A848D9" w:rsidRPr="001D13AA" w:rsidRDefault="00A848D9" w:rsidP="00A848D9">
      <w:pPr>
        <w:rPr>
          <w:rFonts w:ascii="Times New Roman" w:hAnsi="Times New Roman" w:cs="Times New Roman"/>
          <w:sz w:val="24"/>
          <w:szCs w:val="24"/>
        </w:rPr>
      </w:pPr>
    </w:p>
    <w:p w14:paraId="42F65A19" w14:textId="77777777" w:rsidR="00A848D9" w:rsidRPr="001D13AA" w:rsidRDefault="00A848D9" w:rsidP="00A848D9">
      <w:pPr>
        <w:rPr>
          <w:rFonts w:ascii="Times New Roman" w:hAnsi="Times New Roman" w:cs="Times New Roman"/>
          <w:sz w:val="24"/>
          <w:szCs w:val="24"/>
        </w:rPr>
      </w:pPr>
      <w:r w:rsidRPr="001D13AA">
        <w:rPr>
          <w:rFonts w:ascii="Times New Roman" w:hAnsi="Times New Roman" w:cs="Times New Roman"/>
          <w:b/>
          <w:bCs/>
          <w:sz w:val="24"/>
          <w:szCs w:val="24"/>
        </w:rPr>
        <w:t>4. Student-identified themes – distilled findings</w:t>
      </w:r>
      <w:r w:rsidRPr="001D13AA">
        <w:rPr>
          <w:rFonts w:ascii="Times New Roman" w:hAnsi="Times New Roman" w:cs="Times New Roman"/>
          <w:sz w:val="24"/>
          <w:szCs w:val="24"/>
        </w:rPr>
        <w:t xml:space="preserve"> </w:t>
      </w:r>
    </w:p>
    <w:p w14:paraId="7DA973CE" w14:textId="77777777" w:rsidR="00A848D9" w:rsidRPr="001D13AA" w:rsidRDefault="00A848D9" w:rsidP="00A848D9">
      <w:pPr>
        <w:rPr>
          <w:rFonts w:ascii="Times New Roman" w:hAnsi="Times New Roman" w:cs="Times New Roman"/>
          <w:sz w:val="24"/>
          <w:szCs w:val="24"/>
        </w:rPr>
      </w:pPr>
      <w:r w:rsidRPr="001D13AA">
        <w:rPr>
          <w:rFonts w:ascii="Times New Roman" w:hAnsi="Times New Roman" w:cs="Times New Roman"/>
          <w:sz w:val="24"/>
          <w:szCs w:val="24"/>
        </w:rPr>
        <w:lastRenderedPageBreak/>
        <w:t xml:space="preserve">A thematic analysis of 84 student reflections collected from 3 course runs produced six major themes that you can leverage or pre-empt: </w:t>
      </w:r>
    </w:p>
    <w:p w14:paraId="28FE4F79" w14:textId="7FEB36FD" w:rsidR="00A848D9" w:rsidRPr="001D13AA" w:rsidRDefault="00A848D9" w:rsidP="00A848D9">
      <w:pPr>
        <w:rPr>
          <w:rFonts w:ascii="Times New Roman" w:hAnsi="Times New Roman" w:cs="Times New Roman"/>
          <w:sz w:val="24"/>
          <w:szCs w:val="24"/>
        </w:rPr>
      </w:pPr>
      <w:r w:rsidRPr="001D13AA">
        <w:rPr>
          <w:rFonts w:ascii="Times New Roman" w:hAnsi="Times New Roman" w:cs="Times New Roman"/>
          <w:sz w:val="24"/>
          <w:szCs w:val="24"/>
        </w:rPr>
        <w:t xml:space="preserve">1. OH = Hidden knowledge </w:t>
      </w:r>
      <w:proofErr w:type="gramStart"/>
      <w:r w:rsidRPr="001D13AA">
        <w:rPr>
          <w:rFonts w:ascii="Times New Roman" w:hAnsi="Times New Roman" w:cs="Times New Roman"/>
          <w:sz w:val="24"/>
          <w:szCs w:val="24"/>
        </w:rPr>
        <w:t>Learners</w:t>
      </w:r>
      <w:proofErr w:type="gramEnd"/>
      <w:r w:rsidRPr="001D13AA">
        <w:rPr>
          <w:rFonts w:ascii="Times New Roman" w:hAnsi="Times New Roman" w:cs="Times New Roman"/>
          <w:sz w:val="24"/>
          <w:szCs w:val="24"/>
        </w:rPr>
        <w:t xml:space="preserve"> value special access to hearing unique personal stories that aren’t found in textbooks or online.</w:t>
      </w:r>
    </w:p>
    <w:p w14:paraId="5738BFB5" w14:textId="77777777" w:rsidR="00A848D9" w:rsidRPr="001D13AA" w:rsidRDefault="00A848D9" w:rsidP="00A848D9">
      <w:pPr>
        <w:rPr>
          <w:rFonts w:ascii="Times New Roman" w:hAnsi="Times New Roman" w:cs="Times New Roman"/>
          <w:sz w:val="24"/>
          <w:szCs w:val="24"/>
        </w:rPr>
      </w:pPr>
      <w:r w:rsidRPr="001D13AA">
        <w:rPr>
          <w:rFonts w:ascii="Times New Roman" w:hAnsi="Times New Roman" w:cs="Times New Roman"/>
          <w:sz w:val="24"/>
          <w:szCs w:val="24"/>
        </w:rPr>
        <w:t xml:space="preserve">2. Skill stack growth Students make gains in questioning, summarizing, tech and confidence. </w:t>
      </w:r>
    </w:p>
    <w:p w14:paraId="481091D3" w14:textId="77777777" w:rsidR="00A848D9" w:rsidRPr="001D13AA" w:rsidRDefault="00A848D9" w:rsidP="00A848D9">
      <w:pPr>
        <w:rPr>
          <w:rFonts w:ascii="Times New Roman" w:hAnsi="Times New Roman" w:cs="Times New Roman"/>
          <w:sz w:val="24"/>
          <w:szCs w:val="24"/>
        </w:rPr>
      </w:pPr>
      <w:r w:rsidRPr="001D13AA">
        <w:rPr>
          <w:rFonts w:ascii="Times New Roman" w:hAnsi="Times New Roman" w:cs="Times New Roman"/>
          <w:sz w:val="24"/>
          <w:szCs w:val="24"/>
        </w:rPr>
        <w:t xml:space="preserve">3. Team dynamics matter A clear distribution of student roles helps to boost quality; passive group members need early nudges. </w:t>
      </w:r>
    </w:p>
    <w:p w14:paraId="1199764C" w14:textId="77777777" w:rsidR="00A848D9" w:rsidRPr="001D13AA" w:rsidRDefault="00A848D9" w:rsidP="00A848D9">
      <w:pPr>
        <w:rPr>
          <w:rFonts w:ascii="Times New Roman" w:hAnsi="Times New Roman" w:cs="Times New Roman"/>
          <w:sz w:val="24"/>
          <w:szCs w:val="24"/>
        </w:rPr>
      </w:pPr>
      <w:r w:rsidRPr="001D13AA">
        <w:rPr>
          <w:rFonts w:ascii="Times New Roman" w:hAnsi="Times New Roman" w:cs="Times New Roman"/>
          <w:sz w:val="24"/>
          <w:szCs w:val="24"/>
        </w:rPr>
        <w:t xml:space="preserve">4. Preparation beats panic Extra </w:t>
      </w:r>
      <w:proofErr w:type="gramStart"/>
      <w:r w:rsidRPr="001D13AA">
        <w:rPr>
          <w:rFonts w:ascii="Times New Roman" w:hAnsi="Times New Roman" w:cs="Times New Roman"/>
          <w:sz w:val="24"/>
          <w:szCs w:val="24"/>
        </w:rPr>
        <w:t>research</w:t>
      </w:r>
      <w:proofErr w:type="gramEnd"/>
      <w:r w:rsidRPr="001D13AA">
        <w:rPr>
          <w:rFonts w:ascii="Times New Roman" w:hAnsi="Times New Roman" w:cs="Times New Roman"/>
          <w:sz w:val="24"/>
          <w:szCs w:val="24"/>
        </w:rPr>
        <w:t xml:space="preserve"> and equipment back-ups help to save projects. </w:t>
      </w:r>
    </w:p>
    <w:p w14:paraId="1F149570" w14:textId="77777777" w:rsidR="00E9779D" w:rsidRPr="001D13AA" w:rsidRDefault="00A848D9" w:rsidP="00A848D9">
      <w:pPr>
        <w:rPr>
          <w:rFonts w:ascii="Times New Roman" w:hAnsi="Times New Roman" w:cs="Times New Roman"/>
          <w:sz w:val="24"/>
          <w:szCs w:val="24"/>
        </w:rPr>
      </w:pPr>
      <w:r w:rsidRPr="001D13AA">
        <w:rPr>
          <w:rFonts w:ascii="Times New Roman" w:hAnsi="Times New Roman" w:cs="Times New Roman"/>
          <w:sz w:val="24"/>
          <w:szCs w:val="24"/>
        </w:rPr>
        <w:t xml:space="preserve">5. Perspective-bridging Interviews broaden students’ views on age, culture and professions. </w:t>
      </w:r>
    </w:p>
    <w:p w14:paraId="1DF890C7" w14:textId="77777777" w:rsidR="00E9779D" w:rsidRPr="001D13AA" w:rsidRDefault="00A848D9" w:rsidP="00A848D9">
      <w:pPr>
        <w:rPr>
          <w:rFonts w:ascii="Times New Roman" w:hAnsi="Times New Roman" w:cs="Times New Roman"/>
          <w:sz w:val="24"/>
          <w:szCs w:val="24"/>
        </w:rPr>
      </w:pPr>
      <w:r w:rsidRPr="001D13AA">
        <w:rPr>
          <w:rFonts w:ascii="Times New Roman" w:hAnsi="Times New Roman" w:cs="Times New Roman"/>
          <w:sz w:val="24"/>
          <w:szCs w:val="24"/>
        </w:rPr>
        <w:t xml:space="preserve">6. Ethics &amp; accuracy Students become protective of the dignity of oral history participants and be come more careful in translation as a result. Tip: You can turn these six themes into pre-task prep discussion topics, for example: (“How will our group avoid problems with Theme #3?”). </w:t>
      </w:r>
    </w:p>
    <w:p w14:paraId="48A7C0A1" w14:textId="77777777" w:rsidR="00E9779D" w:rsidRPr="001D13AA" w:rsidRDefault="00A848D9" w:rsidP="00A848D9">
      <w:pPr>
        <w:rPr>
          <w:rFonts w:ascii="Times New Roman" w:hAnsi="Times New Roman" w:cs="Times New Roman"/>
          <w:sz w:val="24"/>
          <w:szCs w:val="24"/>
        </w:rPr>
      </w:pPr>
      <w:r w:rsidRPr="001D13AA">
        <w:rPr>
          <w:rFonts w:ascii="Times New Roman" w:hAnsi="Times New Roman" w:cs="Times New Roman"/>
          <w:b/>
          <w:bCs/>
          <w:sz w:val="24"/>
          <w:szCs w:val="24"/>
        </w:rPr>
        <w:t>5. Quick troubleshooting guide</w:t>
      </w:r>
      <w:r w:rsidRPr="001D13AA">
        <w:rPr>
          <w:rFonts w:ascii="Times New Roman" w:hAnsi="Times New Roman" w:cs="Times New Roman"/>
          <w:sz w:val="24"/>
          <w:szCs w:val="24"/>
        </w:rPr>
        <w:t xml:space="preserve"> </w:t>
      </w:r>
    </w:p>
    <w:p w14:paraId="0B86BC5A" w14:textId="63D6F5FC" w:rsidR="00A848D9" w:rsidRPr="001D13AA" w:rsidRDefault="00A848D9" w:rsidP="00A848D9">
      <w:pPr>
        <w:rPr>
          <w:rFonts w:ascii="Times New Roman" w:hAnsi="Times New Roman" w:cs="Times New Roman"/>
          <w:sz w:val="24"/>
          <w:szCs w:val="24"/>
        </w:rPr>
      </w:pPr>
      <w:r w:rsidRPr="001D13AA">
        <w:rPr>
          <w:rFonts w:ascii="Times New Roman" w:hAnsi="Times New Roman" w:cs="Times New Roman"/>
          <w:sz w:val="24"/>
          <w:szCs w:val="24"/>
        </w:rPr>
        <w:t>The chart below lists common OH problems with suggested preventive countermeasures:</w:t>
      </w:r>
    </w:p>
    <w:p w14:paraId="74303311" w14:textId="57E0887B" w:rsidR="00E9779D" w:rsidRPr="001D13AA" w:rsidRDefault="00E9779D" w:rsidP="00E9779D">
      <w:pPr>
        <w:jc w:val="center"/>
        <w:rPr>
          <w:rFonts w:ascii="Times New Roman" w:hAnsi="Times New Roman" w:cs="Times New Roman"/>
          <w:sz w:val="24"/>
          <w:szCs w:val="24"/>
        </w:rPr>
      </w:pPr>
      <w:r w:rsidRPr="001D13AA">
        <w:rPr>
          <w:rFonts w:ascii="Times New Roman" w:hAnsi="Times New Roman" w:cs="Times New Roman"/>
          <w:noProof/>
          <w:sz w:val="24"/>
          <w:szCs w:val="24"/>
        </w:rPr>
        <w:drawing>
          <wp:inline distT="0" distB="0" distL="0" distR="0" wp14:anchorId="6FB4CB2F" wp14:editId="154FF6BC">
            <wp:extent cx="3365500" cy="1828800"/>
            <wp:effectExtent l="0" t="0" r="6350" b="0"/>
            <wp:docPr id="11550962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65500" cy="1828800"/>
                    </a:xfrm>
                    <a:prstGeom prst="rect">
                      <a:avLst/>
                    </a:prstGeom>
                    <a:noFill/>
                    <a:ln>
                      <a:noFill/>
                    </a:ln>
                  </pic:spPr>
                </pic:pic>
              </a:graphicData>
            </a:graphic>
          </wp:inline>
        </w:drawing>
      </w:r>
      <w:r w:rsidRPr="001D13AA">
        <w:rPr>
          <w:rFonts w:ascii="Times New Roman" w:hAnsi="Times New Roman" w:cs="Times New Roman"/>
          <w:sz w:val="24"/>
          <w:szCs w:val="24"/>
        </w:rPr>
        <w:t xml:space="preserve">   </w:t>
      </w:r>
      <w:r w:rsidRPr="001D13AA">
        <w:rPr>
          <w:rFonts w:ascii="Times New Roman" w:hAnsi="Times New Roman" w:cs="Times New Roman"/>
          <w:noProof/>
          <w:sz w:val="24"/>
          <w:szCs w:val="24"/>
        </w:rPr>
        <w:drawing>
          <wp:inline distT="0" distB="0" distL="0" distR="0" wp14:anchorId="0D3120CB" wp14:editId="7740A614">
            <wp:extent cx="3222847" cy="648000"/>
            <wp:effectExtent l="0" t="0" r="0" b="0"/>
            <wp:docPr id="3619773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22847" cy="648000"/>
                    </a:xfrm>
                    <a:prstGeom prst="rect">
                      <a:avLst/>
                    </a:prstGeom>
                    <a:noFill/>
                    <a:ln>
                      <a:noFill/>
                    </a:ln>
                  </pic:spPr>
                </pic:pic>
              </a:graphicData>
            </a:graphic>
          </wp:inline>
        </w:drawing>
      </w:r>
    </w:p>
    <w:p w14:paraId="2906736D" w14:textId="77777777" w:rsidR="00E9779D" w:rsidRPr="001D13AA" w:rsidRDefault="00E9779D" w:rsidP="00E9779D">
      <w:pPr>
        <w:rPr>
          <w:rFonts w:ascii="Times New Roman" w:hAnsi="Times New Roman" w:cs="Times New Roman"/>
          <w:b/>
          <w:bCs/>
          <w:sz w:val="24"/>
          <w:szCs w:val="24"/>
        </w:rPr>
      </w:pPr>
      <w:r w:rsidRPr="001D13AA">
        <w:rPr>
          <w:rFonts w:ascii="Times New Roman" w:hAnsi="Times New Roman" w:cs="Times New Roman"/>
          <w:b/>
          <w:bCs/>
          <w:sz w:val="24"/>
          <w:szCs w:val="24"/>
        </w:rPr>
        <w:t xml:space="preserve">6. Conclusion and next steps </w:t>
      </w:r>
    </w:p>
    <w:p w14:paraId="03D14086" w14:textId="6A1B011C" w:rsidR="00E9779D" w:rsidRPr="001D13AA" w:rsidRDefault="00E9779D" w:rsidP="00E9779D">
      <w:pPr>
        <w:rPr>
          <w:rFonts w:ascii="Times New Roman" w:hAnsi="Times New Roman" w:cs="Times New Roman"/>
          <w:sz w:val="24"/>
          <w:szCs w:val="24"/>
        </w:rPr>
      </w:pPr>
      <w:r w:rsidRPr="001D13AA">
        <w:rPr>
          <w:rFonts w:ascii="Times New Roman" w:hAnsi="Times New Roman" w:cs="Times New Roman"/>
          <w:sz w:val="24"/>
          <w:szCs w:val="24"/>
        </w:rPr>
        <w:t xml:space="preserve">Oral history projects transform language </w:t>
      </w:r>
      <w:proofErr w:type="gramStart"/>
      <w:r w:rsidRPr="001D13AA">
        <w:rPr>
          <w:rFonts w:ascii="Times New Roman" w:hAnsi="Times New Roman" w:cs="Times New Roman"/>
          <w:sz w:val="24"/>
          <w:szCs w:val="24"/>
        </w:rPr>
        <w:t>class rooms</w:t>
      </w:r>
      <w:proofErr w:type="gramEnd"/>
      <w:r w:rsidRPr="001D13AA">
        <w:rPr>
          <w:rFonts w:ascii="Times New Roman" w:hAnsi="Times New Roman" w:cs="Times New Roman"/>
          <w:sz w:val="24"/>
          <w:szCs w:val="24"/>
        </w:rPr>
        <w:t xml:space="preserve"> into labs of social engagement. With modest resources, teachers can scaffold authentic high-stakes communication that builds empathy and archive community voices that might </w:t>
      </w:r>
      <w:proofErr w:type="gramStart"/>
      <w:r w:rsidRPr="001D13AA">
        <w:rPr>
          <w:rFonts w:ascii="Times New Roman" w:hAnsi="Times New Roman" w:cs="Times New Roman"/>
          <w:sz w:val="24"/>
          <w:szCs w:val="24"/>
        </w:rPr>
        <w:t>other</w:t>
      </w:r>
      <w:proofErr w:type="gramEnd"/>
      <w:r w:rsidRPr="001D13AA">
        <w:rPr>
          <w:rFonts w:ascii="Times New Roman" w:hAnsi="Times New Roman" w:cs="Times New Roman"/>
          <w:sz w:val="24"/>
          <w:szCs w:val="24"/>
        </w:rPr>
        <w:t xml:space="preserve"> wise fade. Start small—one interview per pair— and iterate from there. Your learners will carry both the language and the special memories of these oral history projects far beyond their final grade.</w:t>
      </w:r>
    </w:p>
    <w:p w14:paraId="0FDCB609" w14:textId="77777777" w:rsidR="00E9779D" w:rsidRPr="001D13AA" w:rsidRDefault="00E9779D" w:rsidP="00E9779D">
      <w:pPr>
        <w:rPr>
          <w:rFonts w:ascii="Times New Roman" w:hAnsi="Times New Roman" w:cs="Times New Roman"/>
          <w:sz w:val="24"/>
          <w:szCs w:val="24"/>
        </w:rPr>
      </w:pPr>
    </w:p>
    <w:p w14:paraId="4459D8DC" w14:textId="77777777" w:rsidR="00E9779D" w:rsidRPr="001D13AA" w:rsidRDefault="00E9779D" w:rsidP="00E9779D">
      <w:pPr>
        <w:rPr>
          <w:rFonts w:ascii="Times New Roman" w:hAnsi="Times New Roman" w:cs="Times New Roman"/>
          <w:b/>
          <w:bCs/>
          <w:sz w:val="24"/>
          <w:szCs w:val="24"/>
        </w:rPr>
      </w:pPr>
      <w:r w:rsidRPr="001D13AA">
        <w:rPr>
          <w:rFonts w:ascii="Times New Roman" w:hAnsi="Times New Roman" w:cs="Times New Roman"/>
          <w:b/>
          <w:bCs/>
          <w:sz w:val="24"/>
          <w:szCs w:val="24"/>
        </w:rPr>
        <w:t xml:space="preserve">Starter resource list </w:t>
      </w:r>
    </w:p>
    <w:p w14:paraId="259DB75E" w14:textId="4AD9DB89" w:rsidR="00E9779D" w:rsidRPr="001D13AA" w:rsidRDefault="00E9779D" w:rsidP="00E9779D">
      <w:pPr>
        <w:jc w:val="both"/>
        <w:rPr>
          <w:rFonts w:ascii="Times New Roman" w:hAnsi="Times New Roman" w:cs="Times New Roman"/>
          <w:sz w:val="24"/>
          <w:szCs w:val="24"/>
        </w:rPr>
      </w:pPr>
      <w:r w:rsidRPr="001D13AA">
        <w:rPr>
          <w:rFonts w:ascii="Times New Roman" w:hAnsi="Times New Roman" w:cs="Times New Roman"/>
          <w:sz w:val="24"/>
          <w:szCs w:val="24"/>
        </w:rPr>
        <w:t xml:space="preserve">Oral History Association &lt; oralhistory.org &gt; Go to: Resources à Best Practices • Smithsonian SIA: How to Do Oral History, </w:t>
      </w:r>
      <w:hyperlink r:id="rId8" w:history="1">
        <w:r w:rsidRPr="001D13AA">
          <w:rPr>
            <w:rStyle w:val="Hyperlink"/>
            <w:rFonts w:ascii="Times New Roman" w:hAnsi="Times New Roman" w:cs="Times New Roman"/>
            <w:sz w:val="24"/>
            <w:szCs w:val="24"/>
          </w:rPr>
          <w:t>https://siarchives.si.edu/history/how-do-oral-history</w:t>
        </w:r>
      </w:hyperlink>
      <w:r w:rsidRPr="001D13AA">
        <w:rPr>
          <w:rFonts w:ascii="Times New Roman" w:hAnsi="Times New Roman" w:cs="Times New Roman"/>
          <w:sz w:val="24"/>
          <w:szCs w:val="24"/>
        </w:rPr>
        <w:t xml:space="preserve"> Go to: Resources → Best Practices</w:t>
      </w:r>
    </w:p>
    <w:p w14:paraId="6CF7851B" w14:textId="433A7C91" w:rsidR="00E9779D" w:rsidRPr="001D13AA" w:rsidRDefault="00E9779D" w:rsidP="00E9779D">
      <w:pPr>
        <w:jc w:val="both"/>
        <w:rPr>
          <w:rFonts w:ascii="Times New Roman" w:hAnsi="Times New Roman" w:cs="Times New Roman"/>
          <w:sz w:val="24"/>
          <w:szCs w:val="24"/>
        </w:rPr>
      </w:pPr>
      <w:r w:rsidRPr="001D13AA">
        <w:rPr>
          <w:rFonts w:ascii="Times New Roman" w:hAnsi="Times New Roman" w:cs="Times New Roman"/>
          <w:sz w:val="24"/>
          <w:szCs w:val="24"/>
        </w:rPr>
        <w:lastRenderedPageBreak/>
        <w:t xml:space="preserve"> </w:t>
      </w:r>
    </w:p>
    <w:p w14:paraId="7E24B2B1" w14:textId="093E453B" w:rsidR="00E9779D" w:rsidRPr="001D13AA" w:rsidRDefault="00E9779D" w:rsidP="00E9779D">
      <w:pPr>
        <w:jc w:val="both"/>
        <w:rPr>
          <w:rFonts w:ascii="Times New Roman" w:hAnsi="Times New Roman" w:cs="Times New Roman"/>
          <w:sz w:val="24"/>
          <w:szCs w:val="24"/>
        </w:rPr>
      </w:pPr>
      <w:proofErr w:type="spellStart"/>
      <w:r w:rsidRPr="001D13AA">
        <w:rPr>
          <w:rFonts w:ascii="Times New Roman" w:hAnsi="Times New Roman" w:cs="Times New Roman"/>
          <w:sz w:val="24"/>
          <w:szCs w:val="24"/>
        </w:rPr>
        <w:t>Densho</w:t>
      </w:r>
      <w:proofErr w:type="spellEnd"/>
      <w:r w:rsidRPr="001D13AA">
        <w:rPr>
          <w:rFonts w:ascii="Times New Roman" w:hAnsi="Times New Roman" w:cs="Times New Roman"/>
          <w:sz w:val="24"/>
          <w:szCs w:val="24"/>
        </w:rPr>
        <w:t xml:space="preserve"> Project, </w:t>
      </w:r>
      <w:hyperlink r:id="rId9" w:history="1">
        <w:r w:rsidRPr="001D13AA">
          <w:rPr>
            <w:rStyle w:val="Hyperlink"/>
            <w:rFonts w:ascii="Times New Roman" w:hAnsi="Times New Roman" w:cs="Times New Roman"/>
            <w:sz w:val="24"/>
            <w:szCs w:val="24"/>
          </w:rPr>
          <w:t>https://densho.org/</w:t>
        </w:r>
      </w:hyperlink>
      <w:r w:rsidRPr="001D13AA">
        <w:rPr>
          <w:rFonts w:ascii="Times New Roman" w:hAnsi="Times New Roman" w:cs="Times New Roman"/>
          <w:sz w:val="24"/>
          <w:szCs w:val="24"/>
        </w:rPr>
        <w:t xml:space="preserve">, Go to: Collections &amp; Research → Oral History </w:t>
      </w:r>
    </w:p>
    <w:p w14:paraId="36052F70" w14:textId="6625CE64" w:rsidR="00E9779D" w:rsidRDefault="00E9779D" w:rsidP="00E9779D">
      <w:pPr>
        <w:jc w:val="both"/>
        <w:rPr>
          <w:rFonts w:ascii="Times New Roman" w:hAnsi="Times New Roman" w:cs="Times New Roman"/>
          <w:sz w:val="24"/>
          <w:szCs w:val="24"/>
        </w:rPr>
      </w:pPr>
      <w:proofErr w:type="spellStart"/>
      <w:r w:rsidRPr="001D13AA">
        <w:rPr>
          <w:rFonts w:ascii="Times New Roman" w:hAnsi="Times New Roman" w:cs="Times New Roman"/>
          <w:sz w:val="24"/>
          <w:szCs w:val="24"/>
        </w:rPr>
        <w:t>oTranscribe</w:t>
      </w:r>
      <w:proofErr w:type="spellEnd"/>
      <w:r w:rsidR="001D13AA" w:rsidRPr="001D13AA">
        <w:rPr>
          <w:rFonts w:ascii="Times New Roman" w:hAnsi="Times New Roman" w:cs="Times New Roman"/>
          <w:sz w:val="24"/>
          <w:szCs w:val="24"/>
        </w:rPr>
        <w:t xml:space="preserve">, </w:t>
      </w:r>
      <w:hyperlink r:id="rId10" w:history="1">
        <w:r w:rsidR="001D13AA" w:rsidRPr="001D13AA">
          <w:rPr>
            <w:rStyle w:val="Hyperlink"/>
            <w:rFonts w:ascii="Times New Roman" w:hAnsi="Times New Roman" w:cs="Times New Roman"/>
            <w:sz w:val="24"/>
            <w:szCs w:val="24"/>
          </w:rPr>
          <w:t>https://otranscribe.com/</w:t>
        </w:r>
      </w:hyperlink>
      <w:r w:rsidR="001D13AA" w:rsidRPr="001D13AA">
        <w:rPr>
          <w:rFonts w:ascii="Times New Roman" w:hAnsi="Times New Roman" w:cs="Times New Roman"/>
          <w:sz w:val="24"/>
          <w:szCs w:val="24"/>
        </w:rPr>
        <w:t>, a</w:t>
      </w:r>
      <w:r w:rsidRPr="001D13AA">
        <w:rPr>
          <w:rFonts w:ascii="Times New Roman" w:hAnsi="Times New Roman" w:cs="Times New Roman"/>
          <w:sz w:val="24"/>
          <w:szCs w:val="24"/>
        </w:rPr>
        <w:t xml:space="preserve"> free online transcription tool</w:t>
      </w:r>
    </w:p>
    <w:p w14:paraId="77F0CF19" w14:textId="77777777" w:rsidR="001A4411" w:rsidRDefault="001A4411" w:rsidP="00E9779D">
      <w:pPr>
        <w:jc w:val="both"/>
        <w:rPr>
          <w:rFonts w:ascii="Times New Roman" w:hAnsi="Times New Roman" w:cs="Times New Roman"/>
          <w:sz w:val="24"/>
          <w:szCs w:val="24"/>
        </w:rPr>
      </w:pPr>
    </w:p>
    <w:p w14:paraId="3C62B270" w14:textId="77777777" w:rsidR="001A4411" w:rsidRPr="00540044" w:rsidRDefault="001A4411" w:rsidP="001A4411">
      <w:pPr>
        <w:rPr>
          <w:rFonts w:ascii="Times New Roman" w:hAnsi="Times New Roman" w:cs="Times New Roman"/>
          <w:b/>
          <w:bCs/>
          <w:sz w:val="24"/>
          <w:szCs w:val="24"/>
          <w:u w:val="single"/>
        </w:rPr>
      </w:pPr>
      <w:r w:rsidRPr="00540044">
        <w:rPr>
          <w:rFonts w:ascii="Times New Roman" w:hAnsi="Times New Roman" w:cs="Times New Roman"/>
          <w:b/>
          <w:bCs/>
          <w:sz w:val="24"/>
          <w:szCs w:val="24"/>
          <w:u w:val="single"/>
        </w:rPr>
        <w:t xml:space="preserve">Coming soon! Please check the </w:t>
      </w:r>
      <w:hyperlink r:id="rId11" w:history="1">
        <w:r w:rsidRPr="00540044">
          <w:rPr>
            <w:rStyle w:val="Hyperlink"/>
            <w:rFonts w:ascii="Times New Roman" w:hAnsi="Times New Roman" w:cs="Times New Roman"/>
            <w:b/>
            <w:bCs/>
            <w:sz w:val="24"/>
            <w:szCs w:val="24"/>
          </w:rPr>
          <w:t>Pilgrims in Teacher Training courses in 2027</w:t>
        </w:r>
      </w:hyperlink>
      <w:r w:rsidRPr="00540044">
        <w:rPr>
          <w:rFonts w:ascii="Times New Roman" w:hAnsi="Times New Roman" w:cs="Times New Roman"/>
          <w:b/>
          <w:bCs/>
          <w:color w:val="00B050"/>
          <w:sz w:val="24"/>
          <w:szCs w:val="24"/>
          <w:u w:val="single"/>
        </w:rPr>
        <w:t> </w:t>
      </w:r>
      <w:r w:rsidRPr="00540044">
        <w:rPr>
          <w:rFonts w:ascii="Times New Roman" w:hAnsi="Times New Roman" w:cs="Times New Roman"/>
          <w:b/>
          <w:bCs/>
          <w:sz w:val="24"/>
          <w:szCs w:val="24"/>
          <w:u w:val="single"/>
        </w:rPr>
        <w:t>at Pilgrims website.</w:t>
      </w:r>
    </w:p>
    <w:p w14:paraId="4F6A4EED" w14:textId="77777777" w:rsidR="001A4411" w:rsidRPr="001D13AA" w:rsidRDefault="001A4411" w:rsidP="00E9779D">
      <w:pPr>
        <w:jc w:val="both"/>
        <w:rPr>
          <w:rFonts w:ascii="Times New Roman" w:hAnsi="Times New Roman" w:cs="Times New Roman"/>
          <w:sz w:val="24"/>
          <w:szCs w:val="24"/>
        </w:rPr>
      </w:pPr>
    </w:p>
    <w:sectPr w:rsidR="001A4411" w:rsidRPr="001D13AA"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F706FF"/>
    <w:multiLevelType w:val="hybridMultilevel"/>
    <w:tmpl w:val="0D50F33C"/>
    <w:lvl w:ilvl="0" w:tplc="A85AF4C0">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683F48"/>
    <w:multiLevelType w:val="hybridMultilevel"/>
    <w:tmpl w:val="DDC0B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5770107">
    <w:abstractNumId w:val="1"/>
  </w:num>
  <w:num w:numId="2" w16cid:durableId="15390497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2D6"/>
    <w:rsid w:val="00095940"/>
    <w:rsid w:val="001A4411"/>
    <w:rsid w:val="001D13AA"/>
    <w:rsid w:val="00217A08"/>
    <w:rsid w:val="007042D6"/>
    <w:rsid w:val="00725309"/>
    <w:rsid w:val="00A848D9"/>
    <w:rsid w:val="00B01C51"/>
    <w:rsid w:val="00BE3BE1"/>
    <w:rsid w:val="00D15D41"/>
    <w:rsid w:val="00E51445"/>
    <w:rsid w:val="00E9779D"/>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D17E4"/>
  <w15:chartTrackingRefBased/>
  <w15:docId w15:val="{6F36BC42-B4BE-4309-AC07-26AD26983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42D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042D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042D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042D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042D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042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42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42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42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42D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042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042D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042D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042D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042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42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42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42D6"/>
    <w:rPr>
      <w:rFonts w:eastAsiaTheme="majorEastAsia" w:cstheme="majorBidi"/>
      <w:color w:val="272727" w:themeColor="text1" w:themeTint="D8"/>
    </w:rPr>
  </w:style>
  <w:style w:type="paragraph" w:styleId="Title">
    <w:name w:val="Title"/>
    <w:basedOn w:val="Normal"/>
    <w:next w:val="Normal"/>
    <w:link w:val="TitleChar"/>
    <w:uiPriority w:val="10"/>
    <w:qFormat/>
    <w:rsid w:val="007042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42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42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42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42D6"/>
    <w:pPr>
      <w:spacing w:before="160"/>
      <w:jc w:val="center"/>
    </w:pPr>
    <w:rPr>
      <w:i/>
      <w:iCs/>
      <w:color w:val="404040" w:themeColor="text1" w:themeTint="BF"/>
    </w:rPr>
  </w:style>
  <w:style w:type="character" w:customStyle="1" w:styleId="QuoteChar">
    <w:name w:val="Quote Char"/>
    <w:basedOn w:val="DefaultParagraphFont"/>
    <w:link w:val="Quote"/>
    <w:uiPriority w:val="29"/>
    <w:rsid w:val="007042D6"/>
    <w:rPr>
      <w:i/>
      <w:iCs/>
      <w:color w:val="404040" w:themeColor="text1" w:themeTint="BF"/>
    </w:rPr>
  </w:style>
  <w:style w:type="paragraph" w:styleId="ListParagraph">
    <w:name w:val="List Paragraph"/>
    <w:basedOn w:val="Normal"/>
    <w:uiPriority w:val="34"/>
    <w:qFormat/>
    <w:rsid w:val="007042D6"/>
    <w:pPr>
      <w:ind w:left="720"/>
      <w:contextualSpacing/>
    </w:pPr>
  </w:style>
  <w:style w:type="character" w:styleId="IntenseEmphasis">
    <w:name w:val="Intense Emphasis"/>
    <w:basedOn w:val="DefaultParagraphFont"/>
    <w:uiPriority w:val="21"/>
    <w:qFormat/>
    <w:rsid w:val="007042D6"/>
    <w:rPr>
      <w:i/>
      <w:iCs/>
      <w:color w:val="2F5496" w:themeColor="accent1" w:themeShade="BF"/>
    </w:rPr>
  </w:style>
  <w:style w:type="paragraph" w:styleId="IntenseQuote">
    <w:name w:val="Intense Quote"/>
    <w:basedOn w:val="Normal"/>
    <w:next w:val="Normal"/>
    <w:link w:val="IntenseQuoteChar"/>
    <w:uiPriority w:val="30"/>
    <w:qFormat/>
    <w:rsid w:val="007042D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042D6"/>
    <w:rPr>
      <w:i/>
      <w:iCs/>
      <w:color w:val="2F5496" w:themeColor="accent1" w:themeShade="BF"/>
    </w:rPr>
  </w:style>
  <w:style w:type="character" w:styleId="IntenseReference">
    <w:name w:val="Intense Reference"/>
    <w:basedOn w:val="DefaultParagraphFont"/>
    <w:uiPriority w:val="32"/>
    <w:qFormat/>
    <w:rsid w:val="007042D6"/>
    <w:rPr>
      <w:b/>
      <w:bCs/>
      <w:smallCaps/>
      <w:color w:val="2F5496" w:themeColor="accent1" w:themeShade="BF"/>
      <w:spacing w:val="5"/>
    </w:rPr>
  </w:style>
  <w:style w:type="character" w:styleId="Hyperlink">
    <w:name w:val="Hyperlink"/>
    <w:basedOn w:val="DefaultParagraphFont"/>
    <w:uiPriority w:val="99"/>
    <w:unhideWhenUsed/>
    <w:rsid w:val="00E9779D"/>
    <w:rPr>
      <w:color w:val="0563C1" w:themeColor="hyperlink"/>
      <w:u w:val="single"/>
    </w:rPr>
  </w:style>
  <w:style w:type="character" w:styleId="UnresolvedMention">
    <w:name w:val="Unresolved Mention"/>
    <w:basedOn w:val="DefaultParagraphFont"/>
    <w:uiPriority w:val="99"/>
    <w:semiHidden/>
    <w:unhideWhenUsed/>
    <w:rsid w:val="00E977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archives.si.edu/history/how-do-oral-histor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pilgrims.co.uk/teacher-training-courses" TargetMode="External"/><Relationship Id="rId5" Type="http://schemas.openxmlformats.org/officeDocument/2006/relationships/image" Target="media/image1.png"/><Relationship Id="rId10" Type="http://schemas.openxmlformats.org/officeDocument/2006/relationships/hyperlink" Target="https://otranscribe.com/" TargetMode="External"/><Relationship Id="rId4" Type="http://schemas.openxmlformats.org/officeDocument/2006/relationships/webSettings" Target="webSettings.xml"/><Relationship Id="rId9" Type="http://schemas.openxmlformats.org/officeDocument/2006/relationships/hyperlink" Target="https://densho.org/"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4</Pages>
  <Words>926</Words>
  <Characters>5263</Characters>
  <Application>Microsoft Office Word</Application>
  <DocSecurity>0</DocSecurity>
  <Lines>107</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4</cp:revision>
  <dcterms:created xsi:type="dcterms:W3CDTF">2026-10-03T09:33:00Z</dcterms:created>
  <dcterms:modified xsi:type="dcterms:W3CDTF">2026-10-04T12:51:00Z</dcterms:modified>
</cp:coreProperties>
</file>