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B39DF" w:rsidRPr="00495779" w:rsidRDefault="00000000" w:rsidP="00A5683F">
      <w:pPr>
        <w:pStyle w:val="Title"/>
        <w:keepNext w:val="0"/>
        <w:keepLines w:val="0"/>
        <w:spacing w:line="240" w:lineRule="auto"/>
        <w:rPr>
          <w:rFonts w:ascii="Times New Roman" w:hAnsi="Times New Roman" w:cs="Times New Roman"/>
          <w:b/>
          <w:bCs/>
          <w:sz w:val="28"/>
          <w:szCs w:val="28"/>
        </w:rPr>
      </w:pPr>
      <w:bookmarkStart w:id="0" w:name="_e6cm23ex9zeh" w:colFirst="0" w:colLast="0"/>
      <w:bookmarkStart w:id="1" w:name="_Hlk196235930"/>
      <w:bookmarkEnd w:id="0"/>
      <w:r w:rsidRPr="00495779">
        <w:rPr>
          <w:rFonts w:ascii="Times New Roman" w:hAnsi="Times New Roman" w:cs="Times New Roman"/>
          <w:b/>
          <w:bCs/>
          <w:sz w:val="28"/>
          <w:szCs w:val="28"/>
        </w:rPr>
        <w:t>Balancing Focus on Form and Meaning with Input Enhancement</w:t>
      </w:r>
    </w:p>
    <w:p w14:paraId="00000002" w14:textId="77777777" w:rsidR="00BB39DF" w:rsidRPr="00AC64AE" w:rsidRDefault="00BB39DF" w:rsidP="00AC64AE">
      <w:pPr>
        <w:spacing w:after="60" w:line="240" w:lineRule="auto"/>
        <w:rPr>
          <w:rFonts w:ascii="Times New Roman" w:hAnsi="Times New Roman" w:cs="Times New Roman"/>
          <w:sz w:val="24"/>
          <w:szCs w:val="24"/>
        </w:rPr>
      </w:pPr>
    </w:p>
    <w:p w14:paraId="07B8374F" w14:textId="662710FC" w:rsidR="00AC64AE" w:rsidRDefault="00000000" w:rsidP="00A5683F">
      <w:pPr>
        <w:spacing w:after="60" w:line="240" w:lineRule="auto"/>
        <w:rPr>
          <w:rFonts w:ascii="Times New Roman" w:hAnsi="Times New Roman" w:cs="Times New Roman"/>
          <w:b/>
          <w:sz w:val="24"/>
          <w:szCs w:val="24"/>
        </w:rPr>
      </w:pPr>
      <w:r w:rsidRPr="00AC64AE">
        <w:rPr>
          <w:rFonts w:ascii="Times New Roman" w:hAnsi="Times New Roman" w:cs="Times New Roman"/>
          <w:b/>
          <w:sz w:val="24"/>
          <w:szCs w:val="24"/>
        </w:rPr>
        <w:t>Waqas Ahmad</w:t>
      </w:r>
      <w:r w:rsidR="00A5683F">
        <w:rPr>
          <w:rFonts w:ascii="Times New Roman" w:hAnsi="Times New Roman" w:cs="Times New Roman"/>
          <w:b/>
          <w:sz w:val="24"/>
          <w:szCs w:val="24"/>
        </w:rPr>
        <w:t xml:space="preserve">, </w:t>
      </w:r>
      <w:r w:rsidR="00AC64AE" w:rsidRPr="00AC64AE">
        <w:rPr>
          <w:rFonts w:ascii="Times New Roman" w:hAnsi="Times New Roman" w:cs="Times New Roman"/>
          <w:b/>
          <w:sz w:val="24"/>
          <w:szCs w:val="24"/>
        </w:rPr>
        <w:t>Pakistan</w:t>
      </w:r>
    </w:p>
    <w:p w14:paraId="19E6FE1E" w14:textId="77777777" w:rsidR="00A5683F" w:rsidRPr="00AC64AE" w:rsidRDefault="00A5683F" w:rsidP="00A5683F">
      <w:pPr>
        <w:spacing w:after="60" w:line="240" w:lineRule="auto"/>
        <w:rPr>
          <w:rFonts w:ascii="Times New Roman" w:hAnsi="Times New Roman" w:cs="Times New Roman"/>
          <w:b/>
          <w:sz w:val="24"/>
          <w:szCs w:val="24"/>
        </w:rPr>
      </w:pPr>
    </w:p>
    <w:bookmarkEnd w:id="1"/>
    <w:p w14:paraId="26713109" w14:textId="5055A7F9" w:rsidR="00302EF2" w:rsidRDefault="00302EF2" w:rsidP="00302EF2">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Waqas Ahmad</w:t>
      </w:r>
      <w:r w:rsidRPr="00302EF2">
        <w:rPr>
          <w:rFonts w:ascii="Times New Roman" w:hAnsi="Times New Roman" w:cs="Times New Roman"/>
          <w:sz w:val="24"/>
          <w:szCs w:val="24"/>
        </w:rPr>
        <w:t xml:space="preserve"> is a </w:t>
      </w:r>
      <w:r>
        <w:rPr>
          <w:rFonts w:ascii="Times New Roman" w:hAnsi="Times New Roman" w:cs="Times New Roman"/>
          <w:sz w:val="24"/>
          <w:szCs w:val="24"/>
        </w:rPr>
        <w:t xml:space="preserve">Master’s Degree student </w:t>
      </w:r>
      <w:r w:rsidRPr="00302EF2">
        <w:rPr>
          <w:rFonts w:ascii="Times New Roman" w:hAnsi="Times New Roman" w:cs="Times New Roman"/>
          <w:sz w:val="24"/>
          <w:szCs w:val="24"/>
        </w:rPr>
        <w:t>in English Education</w:t>
      </w:r>
      <w:r>
        <w:rPr>
          <w:rFonts w:ascii="Times New Roman" w:hAnsi="Times New Roman" w:cs="Times New Roman"/>
          <w:sz w:val="24"/>
          <w:szCs w:val="24"/>
        </w:rPr>
        <w:t xml:space="preserve"> at Sebelas Maret University Surakarta, Indonesia.</w:t>
      </w:r>
      <w:r w:rsidRPr="00302EF2">
        <w:rPr>
          <w:rFonts w:ascii="Times New Roman" w:hAnsi="Times New Roman" w:cs="Times New Roman"/>
          <w:sz w:val="24"/>
          <w:szCs w:val="24"/>
        </w:rPr>
        <w:t xml:space="preserve"> A gold medalist in English </w:t>
      </w:r>
      <w:r>
        <w:rPr>
          <w:rFonts w:ascii="Times New Roman" w:hAnsi="Times New Roman" w:cs="Times New Roman"/>
          <w:sz w:val="24"/>
          <w:szCs w:val="24"/>
        </w:rPr>
        <w:t>Studies</w:t>
      </w:r>
      <w:r w:rsidRPr="00302EF2">
        <w:rPr>
          <w:rFonts w:ascii="Times New Roman" w:hAnsi="Times New Roman" w:cs="Times New Roman"/>
          <w:sz w:val="24"/>
          <w:szCs w:val="24"/>
        </w:rPr>
        <w:t xml:space="preserve"> from Pakistan, he specializes in SLA and digital language learning. His work explores IDLE, FLCA, and pedagogical innovations for enhancing EFL instruction.</w:t>
      </w:r>
      <w:r>
        <w:rPr>
          <w:rFonts w:ascii="Times New Roman" w:hAnsi="Times New Roman" w:cs="Times New Roman"/>
          <w:sz w:val="24"/>
          <w:szCs w:val="24"/>
        </w:rPr>
        <w:t xml:space="preserve"> </w:t>
      </w:r>
      <w:r w:rsidR="00375006">
        <w:rPr>
          <w:rFonts w:ascii="Times New Roman" w:hAnsi="Times New Roman" w:cs="Times New Roman"/>
          <w:sz w:val="24"/>
          <w:szCs w:val="24"/>
        </w:rPr>
        <w:t xml:space="preserve">Email: </w:t>
      </w:r>
      <w:hyperlink r:id="rId5" w:history="1">
        <w:r w:rsidR="00375006" w:rsidRPr="004F79A3">
          <w:rPr>
            <w:rStyle w:val="Hyperlink"/>
            <w:rFonts w:ascii="Times New Roman" w:hAnsi="Times New Roman" w:cs="Times New Roman"/>
            <w:color w:val="auto"/>
            <w:sz w:val="24"/>
            <w:szCs w:val="24"/>
            <w:u w:val="none"/>
          </w:rPr>
          <w:t>waqas@student.uns.ac.id</w:t>
        </w:r>
      </w:hyperlink>
      <w:r w:rsidRPr="004F79A3">
        <w:rPr>
          <w:rFonts w:ascii="Times New Roman" w:hAnsi="Times New Roman" w:cs="Times New Roman"/>
          <w:sz w:val="24"/>
          <w:szCs w:val="24"/>
        </w:rPr>
        <w:t xml:space="preserve"> </w:t>
      </w:r>
    </w:p>
    <w:p w14:paraId="1D1510FF" w14:textId="77777777" w:rsidR="00302EF2" w:rsidRDefault="00302EF2" w:rsidP="00302EF2">
      <w:pPr>
        <w:spacing w:after="60" w:line="240" w:lineRule="auto"/>
        <w:jc w:val="both"/>
        <w:rPr>
          <w:rFonts w:ascii="Times New Roman" w:hAnsi="Times New Roman" w:cs="Times New Roman"/>
          <w:sz w:val="24"/>
          <w:szCs w:val="24"/>
        </w:rPr>
      </w:pPr>
    </w:p>
    <w:p w14:paraId="55872435" w14:textId="0BF01909" w:rsidR="00A5683F" w:rsidRPr="00A5683F" w:rsidRDefault="00A5683F" w:rsidP="00302EF2">
      <w:pPr>
        <w:spacing w:after="60" w:line="240" w:lineRule="auto"/>
        <w:jc w:val="both"/>
        <w:rPr>
          <w:rFonts w:ascii="Times New Roman" w:hAnsi="Times New Roman" w:cs="Times New Roman"/>
          <w:b/>
          <w:bCs/>
          <w:sz w:val="24"/>
          <w:szCs w:val="24"/>
        </w:rPr>
      </w:pPr>
      <w:r w:rsidRPr="00A5683F">
        <w:rPr>
          <w:rFonts w:ascii="Times New Roman" w:hAnsi="Times New Roman" w:cs="Times New Roman"/>
          <w:b/>
          <w:bCs/>
          <w:sz w:val="24"/>
          <w:szCs w:val="24"/>
        </w:rPr>
        <w:t>What is Input Enhancement (IE)?</w:t>
      </w:r>
    </w:p>
    <w:p w14:paraId="4FD9047B" w14:textId="77777777" w:rsidR="00A5683F" w:rsidRDefault="00A5683F" w:rsidP="00302EF2">
      <w:pPr>
        <w:spacing w:after="60" w:line="240" w:lineRule="auto"/>
        <w:jc w:val="both"/>
        <w:rPr>
          <w:rFonts w:ascii="Times New Roman" w:hAnsi="Times New Roman" w:cs="Times New Roman"/>
          <w:sz w:val="24"/>
          <w:szCs w:val="24"/>
        </w:rPr>
      </w:pPr>
    </w:p>
    <w:p w14:paraId="00000005" w14:textId="7C504507" w:rsidR="00BB39DF"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 xml:space="preserve">Input Enhancement (IE) is an </w:t>
      </w:r>
      <w:r w:rsidR="00635F95">
        <w:rPr>
          <w:rFonts w:ascii="Times New Roman" w:hAnsi="Times New Roman" w:cs="Times New Roman"/>
          <w:sz w:val="24"/>
          <w:szCs w:val="24"/>
        </w:rPr>
        <w:t>essential</w:t>
      </w:r>
      <w:r w:rsidRPr="00AC64AE">
        <w:rPr>
          <w:rFonts w:ascii="Times New Roman" w:hAnsi="Times New Roman" w:cs="Times New Roman"/>
          <w:sz w:val="24"/>
          <w:szCs w:val="24"/>
        </w:rPr>
        <w:t xml:space="preserve"> concept in Second Language Acquisition (SLA) that aims to help learners notice specific forms in the input. According to </w:t>
      </w:r>
      <w:proofErr w:type="spellStart"/>
      <w:r w:rsidRPr="00AC64AE">
        <w:rPr>
          <w:rFonts w:ascii="Times New Roman" w:hAnsi="Times New Roman" w:cs="Times New Roman"/>
          <w:sz w:val="24"/>
          <w:szCs w:val="24"/>
        </w:rPr>
        <w:t>Sharwood</w:t>
      </w:r>
      <w:proofErr w:type="spellEnd"/>
      <w:r w:rsidRPr="00AC64AE">
        <w:rPr>
          <w:rFonts w:ascii="Times New Roman" w:hAnsi="Times New Roman" w:cs="Times New Roman"/>
          <w:sz w:val="24"/>
          <w:szCs w:val="24"/>
        </w:rPr>
        <w:t xml:space="preserve"> Smith (1993), IE involves consciously manipulating the salience of target forms in language input, either through modifications of written text (e.g., bolding or underlining), auditory signals (e.g., changes in intonation), or visual enhancement. The purpose is to draw learners' attention to the formal aspects of the language during meaning-focused activities, enabling them to process and eventually acquire these forms.</w:t>
      </w:r>
    </w:p>
    <w:p w14:paraId="59E735F3" w14:textId="77777777" w:rsidR="00A5683F" w:rsidRPr="00AC64AE" w:rsidRDefault="00A5683F" w:rsidP="00AC64AE">
      <w:pPr>
        <w:spacing w:after="60" w:line="240" w:lineRule="auto"/>
        <w:jc w:val="both"/>
        <w:rPr>
          <w:rFonts w:ascii="Times New Roman" w:hAnsi="Times New Roman" w:cs="Times New Roman"/>
          <w:sz w:val="24"/>
          <w:szCs w:val="24"/>
        </w:rPr>
      </w:pPr>
    </w:p>
    <w:p w14:paraId="00000007" w14:textId="488F3A60" w:rsidR="00BB39DF" w:rsidRPr="00AC64AE"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SLA identifies consciousness as a key factor in learning. Schmidt’s (1995) Noticing Hypothesis suggests that learners must consciously notice linguistic forms to incorporate them into their interlanguage systems. However, VanPatten’s (1996) Input Processing Hypothesis highlights that learners tend to prioritize meaning over form. Input Enhancement addresses this issue by incorporating explicit focus on form within communicative contexts, enabling students to develop grammatical precision without losing fluency.</w:t>
      </w:r>
      <w:r w:rsidR="00C41640" w:rsidRPr="00AC64AE">
        <w:rPr>
          <w:rFonts w:ascii="Times New Roman" w:hAnsi="Times New Roman" w:cs="Times New Roman"/>
          <w:sz w:val="24"/>
          <w:szCs w:val="24"/>
        </w:rPr>
        <w:t xml:space="preserve"> </w:t>
      </w:r>
      <w:r w:rsidRPr="00AC64AE">
        <w:rPr>
          <w:rFonts w:ascii="Times New Roman" w:hAnsi="Times New Roman" w:cs="Times New Roman"/>
          <w:sz w:val="24"/>
          <w:szCs w:val="24"/>
        </w:rPr>
        <w:t>Balancing focus on form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and focus on meaning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is a nuanced challenge in SLA.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emphasizes accuracy and structural correctness, while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prioritizes fluency and communicative intent. Overemphasis on either can hinder language development: too much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may lead to fossilization of errors, and excessive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can inhibit fluency. Input Enhancement provides a means to balance these aspects by subtly drawing attention to grammar without disrupting communication. This section demonstrates how teachers can create lessons fostering both accuracy and fluency through practical examples of Input Enhancement strategies in action.</w:t>
      </w:r>
    </w:p>
    <w:p w14:paraId="00000008" w14:textId="39BF4367" w:rsidR="00BB39DF" w:rsidRPr="00AC64AE"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Input Enhancement involves techniques that make specific linguistic forms more noticeable in the input learners receive. These techniques aim to help learners notice target structures without disrupting the overall flow or meaning of communication. The approach is grounded in Krashen’s (1987) Input Hypothesis, which posits that learners acquire language through exposure to comprehensible input slightly beyond their current competence (i+1). However, mere exposure is insufficient; input must be organized to highlight significant linguistic features, facilitating the noticing and processing essential for acquisition.</w:t>
      </w:r>
    </w:p>
    <w:p w14:paraId="7EB8AB8F" w14:textId="77777777" w:rsidR="00A5683F" w:rsidRDefault="00A5683F" w:rsidP="00AC64AE">
      <w:pPr>
        <w:spacing w:after="60" w:line="240" w:lineRule="auto"/>
        <w:jc w:val="both"/>
        <w:rPr>
          <w:rFonts w:ascii="Times New Roman" w:hAnsi="Times New Roman" w:cs="Times New Roman"/>
          <w:b/>
          <w:sz w:val="24"/>
          <w:szCs w:val="24"/>
        </w:rPr>
      </w:pPr>
    </w:p>
    <w:p w14:paraId="00000009" w14:textId="7AB8FED9" w:rsidR="00BB39DF" w:rsidRPr="00AC64AE" w:rsidRDefault="00000000" w:rsidP="00AC64AE">
      <w:pPr>
        <w:spacing w:after="60" w:line="240" w:lineRule="auto"/>
        <w:jc w:val="both"/>
        <w:rPr>
          <w:rFonts w:ascii="Times New Roman" w:hAnsi="Times New Roman" w:cs="Times New Roman"/>
          <w:b/>
          <w:sz w:val="24"/>
          <w:szCs w:val="24"/>
        </w:rPr>
      </w:pPr>
      <w:r w:rsidRPr="00AC64AE">
        <w:rPr>
          <w:rFonts w:ascii="Times New Roman" w:hAnsi="Times New Roman" w:cs="Times New Roman"/>
          <w:b/>
          <w:sz w:val="24"/>
          <w:szCs w:val="24"/>
        </w:rPr>
        <w:t xml:space="preserve">Examples of Input Enhancement </w:t>
      </w:r>
      <w:r w:rsidR="00A5683F">
        <w:rPr>
          <w:rFonts w:ascii="Times New Roman" w:hAnsi="Times New Roman" w:cs="Times New Roman"/>
          <w:b/>
          <w:sz w:val="24"/>
          <w:szCs w:val="24"/>
        </w:rPr>
        <w:t>t</w:t>
      </w:r>
      <w:r w:rsidRPr="00AC64AE">
        <w:rPr>
          <w:rFonts w:ascii="Times New Roman" w:hAnsi="Times New Roman" w:cs="Times New Roman"/>
          <w:b/>
          <w:sz w:val="24"/>
          <w:szCs w:val="24"/>
        </w:rPr>
        <w:t>echniques</w:t>
      </w:r>
    </w:p>
    <w:p w14:paraId="0000000A" w14:textId="77777777" w:rsidR="00BB39DF" w:rsidRPr="00AC64AE" w:rsidRDefault="00000000" w:rsidP="00AC64AE">
      <w:pPr>
        <w:numPr>
          <w:ilvl w:val="0"/>
          <w:numId w:val="1"/>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lastRenderedPageBreak/>
        <w:t>Bolding, Underlining, or Highlighting:</w:t>
      </w:r>
      <w:r w:rsidRPr="00AC64AE">
        <w:rPr>
          <w:rFonts w:ascii="Times New Roman" w:hAnsi="Times New Roman" w:cs="Times New Roman"/>
          <w:sz w:val="24"/>
          <w:szCs w:val="24"/>
        </w:rPr>
        <w:t xml:space="preserve"> Visual techniques that emphasize specific words, phrases, or grammatical constructions in written text. For instance, bolding past tense verbs in a reading exercise highlights their usage.</w:t>
      </w:r>
    </w:p>
    <w:p w14:paraId="0000000B" w14:textId="77777777" w:rsidR="00BB39DF" w:rsidRPr="00AC64AE" w:rsidRDefault="00000000" w:rsidP="00AC64AE">
      <w:pPr>
        <w:numPr>
          <w:ilvl w:val="0"/>
          <w:numId w:val="1"/>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Repetition:</w:t>
      </w:r>
      <w:r w:rsidRPr="00AC64AE">
        <w:rPr>
          <w:rFonts w:ascii="Times New Roman" w:hAnsi="Times New Roman" w:cs="Times New Roman"/>
          <w:sz w:val="24"/>
          <w:szCs w:val="24"/>
        </w:rPr>
        <w:t xml:space="preserve"> Presenting target linguistic forms multiple times in varied contexts to facilitate their recognition and use.</w:t>
      </w:r>
    </w:p>
    <w:p w14:paraId="0000000C" w14:textId="77777777" w:rsidR="00BB39DF" w:rsidRPr="00AC64AE" w:rsidRDefault="00000000" w:rsidP="00AC64AE">
      <w:pPr>
        <w:numPr>
          <w:ilvl w:val="0"/>
          <w:numId w:val="1"/>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Color-Coding:</w:t>
      </w:r>
      <w:r w:rsidRPr="00AC64AE">
        <w:rPr>
          <w:rFonts w:ascii="Times New Roman" w:hAnsi="Times New Roman" w:cs="Times New Roman"/>
          <w:sz w:val="24"/>
          <w:szCs w:val="24"/>
        </w:rPr>
        <w:t xml:space="preserve"> Assigning colors to different grammatical categories (e.g., blue for verbs, green for nouns) to help learners distinguish them.</w:t>
      </w:r>
    </w:p>
    <w:p w14:paraId="0000000D" w14:textId="77777777" w:rsidR="00BB39DF" w:rsidRPr="00AC64AE" w:rsidRDefault="00000000" w:rsidP="00AC64AE">
      <w:pPr>
        <w:numPr>
          <w:ilvl w:val="0"/>
          <w:numId w:val="1"/>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Target Forms in Context:</w:t>
      </w:r>
      <w:r w:rsidRPr="00AC64AE">
        <w:rPr>
          <w:rFonts w:ascii="Times New Roman" w:hAnsi="Times New Roman" w:cs="Times New Roman"/>
          <w:sz w:val="24"/>
          <w:szCs w:val="24"/>
        </w:rPr>
        <w:t xml:space="preserve"> Embedding new language elements in meaningful contexts to help learners associate the form with meaning.</w:t>
      </w:r>
    </w:p>
    <w:p w14:paraId="2980339B" w14:textId="77777777" w:rsidR="00A5683F" w:rsidRDefault="00A5683F" w:rsidP="00AC64AE">
      <w:pPr>
        <w:spacing w:after="60" w:line="240" w:lineRule="auto"/>
        <w:jc w:val="both"/>
        <w:rPr>
          <w:rFonts w:ascii="Times New Roman" w:hAnsi="Times New Roman" w:cs="Times New Roman"/>
          <w:b/>
          <w:sz w:val="24"/>
          <w:szCs w:val="24"/>
        </w:rPr>
      </w:pPr>
    </w:p>
    <w:p w14:paraId="2C270012" w14:textId="19807D79" w:rsidR="00C41640" w:rsidRPr="00AC64AE"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 xml:space="preserve">Input Enhancement and SLA </w:t>
      </w:r>
      <w:r w:rsidR="00A5683F">
        <w:rPr>
          <w:rFonts w:ascii="Times New Roman" w:hAnsi="Times New Roman" w:cs="Times New Roman"/>
          <w:b/>
          <w:sz w:val="24"/>
          <w:szCs w:val="24"/>
        </w:rPr>
        <w:t>t</w:t>
      </w:r>
      <w:r w:rsidRPr="00AC64AE">
        <w:rPr>
          <w:rFonts w:ascii="Times New Roman" w:hAnsi="Times New Roman" w:cs="Times New Roman"/>
          <w:b/>
          <w:sz w:val="24"/>
          <w:szCs w:val="24"/>
        </w:rPr>
        <w:t>heories</w:t>
      </w:r>
      <w:r w:rsidRPr="00AC64AE">
        <w:rPr>
          <w:rFonts w:ascii="Times New Roman" w:hAnsi="Times New Roman" w:cs="Times New Roman"/>
          <w:sz w:val="24"/>
          <w:szCs w:val="24"/>
        </w:rPr>
        <w:t xml:space="preserve"> </w:t>
      </w:r>
    </w:p>
    <w:p w14:paraId="2EC9521C" w14:textId="77777777" w:rsidR="00A5683F" w:rsidRDefault="00A5683F" w:rsidP="00AC64AE">
      <w:pPr>
        <w:spacing w:after="60" w:line="240" w:lineRule="auto"/>
        <w:jc w:val="both"/>
        <w:rPr>
          <w:rFonts w:ascii="Times New Roman" w:hAnsi="Times New Roman" w:cs="Times New Roman"/>
          <w:sz w:val="24"/>
          <w:szCs w:val="24"/>
        </w:rPr>
      </w:pPr>
    </w:p>
    <w:p w14:paraId="0000000E" w14:textId="715A4300" w:rsidR="00BB39DF" w:rsidRPr="00AC64AE"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Input Enhancement aligns with prominent SLA theories, including Krashen’s (1987) Input Hypothesis and Schmidt’s (1995) Noticing Hypothesis. Krashen emphasizes the need for comprehensible input slightly above learners’ current proficiency levels, which Input Enhancement facilitates by highlighting target forms. Schmidt’s hypothesis underscores the necessity of consciously noticing linguistic forms for acquisition. Input Enhancement techniques increase the salience of specific forms, helping learners focus their attention on crucial linguistic features without overwhelming them.</w:t>
      </w:r>
    </w:p>
    <w:p w14:paraId="00662803" w14:textId="77777777" w:rsidR="00A5683F" w:rsidRDefault="00A5683F" w:rsidP="00AC64AE">
      <w:pPr>
        <w:spacing w:after="60" w:line="240" w:lineRule="auto"/>
        <w:jc w:val="both"/>
        <w:rPr>
          <w:rFonts w:ascii="Times New Roman" w:hAnsi="Times New Roman" w:cs="Times New Roman"/>
          <w:b/>
          <w:sz w:val="24"/>
          <w:szCs w:val="24"/>
        </w:rPr>
      </w:pPr>
    </w:p>
    <w:p w14:paraId="70E3957B" w14:textId="2A5A57B3" w:rsidR="00C41640" w:rsidRDefault="00000000" w:rsidP="00AC64AE">
      <w:pPr>
        <w:spacing w:after="60" w:line="240" w:lineRule="auto"/>
        <w:jc w:val="both"/>
        <w:rPr>
          <w:rFonts w:ascii="Times New Roman" w:hAnsi="Times New Roman" w:cs="Times New Roman"/>
          <w:b/>
          <w:sz w:val="24"/>
          <w:szCs w:val="24"/>
        </w:rPr>
      </w:pPr>
      <w:r w:rsidRPr="00AC64AE">
        <w:rPr>
          <w:rFonts w:ascii="Times New Roman" w:hAnsi="Times New Roman" w:cs="Times New Roman"/>
          <w:b/>
          <w:sz w:val="24"/>
          <w:szCs w:val="24"/>
        </w:rPr>
        <w:t xml:space="preserve">The </w:t>
      </w:r>
      <w:r w:rsidR="00495779">
        <w:rPr>
          <w:rFonts w:ascii="Times New Roman" w:hAnsi="Times New Roman" w:cs="Times New Roman"/>
          <w:b/>
          <w:sz w:val="24"/>
          <w:szCs w:val="24"/>
        </w:rPr>
        <w:t>r</w:t>
      </w:r>
      <w:r w:rsidRPr="00AC64AE">
        <w:rPr>
          <w:rFonts w:ascii="Times New Roman" w:hAnsi="Times New Roman" w:cs="Times New Roman"/>
          <w:b/>
          <w:sz w:val="24"/>
          <w:szCs w:val="24"/>
        </w:rPr>
        <w:t xml:space="preserve">ole of </w:t>
      </w:r>
      <w:r w:rsidR="00A5683F">
        <w:rPr>
          <w:rFonts w:ascii="Times New Roman" w:hAnsi="Times New Roman" w:cs="Times New Roman"/>
          <w:b/>
          <w:sz w:val="24"/>
          <w:szCs w:val="24"/>
        </w:rPr>
        <w:t>f</w:t>
      </w:r>
      <w:r w:rsidRPr="00AC64AE">
        <w:rPr>
          <w:rFonts w:ascii="Times New Roman" w:hAnsi="Times New Roman" w:cs="Times New Roman"/>
          <w:b/>
          <w:sz w:val="24"/>
          <w:szCs w:val="24"/>
        </w:rPr>
        <w:t xml:space="preserve">ocus on </w:t>
      </w:r>
      <w:r w:rsidR="00A5683F">
        <w:rPr>
          <w:rFonts w:ascii="Times New Roman" w:hAnsi="Times New Roman" w:cs="Times New Roman"/>
          <w:b/>
          <w:sz w:val="24"/>
          <w:szCs w:val="24"/>
        </w:rPr>
        <w:t>f</w:t>
      </w:r>
      <w:r w:rsidRPr="00AC64AE">
        <w:rPr>
          <w:rFonts w:ascii="Times New Roman" w:hAnsi="Times New Roman" w:cs="Times New Roman"/>
          <w:b/>
          <w:sz w:val="24"/>
          <w:szCs w:val="24"/>
        </w:rPr>
        <w:t xml:space="preserve">orm and </w:t>
      </w:r>
      <w:r w:rsidR="00A5683F">
        <w:rPr>
          <w:rFonts w:ascii="Times New Roman" w:hAnsi="Times New Roman" w:cs="Times New Roman"/>
          <w:b/>
          <w:sz w:val="24"/>
          <w:szCs w:val="24"/>
        </w:rPr>
        <w:t>m</w:t>
      </w:r>
      <w:r w:rsidRPr="00AC64AE">
        <w:rPr>
          <w:rFonts w:ascii="Times New Roman" w:hAnsi="Times New Roman" w:cs="Times New Roman"/>
          <w:b/>
          <w:sz w:val="24"/>
          <w:szCs w:val="24"/>
        </w:rPr>
        <w:t>eaning in SLA</w:t>
      </w:r>
    </w:p>
    <w:p w14:paraId="75E34700" w14:textId="77777777" w:rsidR="00A5683F" w:rsidRPr="00AC64AE" w:rsidRDefault="00A5683F" w:rsidP="00AC64AE">
      <w:pPr>
        <w:spacing w:after="60" w:line="240" w:lineRule="auto"/>
        <w:jc w:val="both"/>
        <w:rPr>
          <w:rFonts w:ascii="Times New Roman" w:hAnsi="Times New Roman" w:cs="Times New Roman"/>
          <w:sz w:val="24"/>
          <w:szCs w:val="24"/>
        </w:rPr>
      </w:pPr>
    </w:p>
    <w:p w14:paraId="0000000F" w14:textId="2FB5EA20" w:rsidR="00BB39DF" w:rsidRDefault="00000000" w:rsidP="00AC64AE">
      <w:pPr>
        <w:spacing w:after="60" w:line="240" w:lineRule="auto"/>
        <w:jc w:val="both"/>
        <w:rPr>
          <w:rFonts w:ascii="Times New Roman" w:hAnsi="Times New Roman" w:cs="Times New Roman"/>
          <w:sz w:val="24"/>
          <w:szCs w:val="24"/>
        </w:rPr>
      </w:pP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and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play complementary roles in SLA.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involves explicit attention to linguistic features, often in response to learners’ errors or clarification needs (Long, 1991). It aids learners in understanding and correctly using language structures.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emphasizes communication and fluency, encouraging learners to engage in tasks like discussions and storytelling (Ellis, 2003). A balanced approach integrating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and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ensures holistic language development, addressing both grammatical accuracy and communicative competence.</w:t>
      </w:r>
    </w:p>
    <w:p w14:paraId="2E3759C1" w14:textId="77777777" w:rsidR="00A5683F" w:rsidRPr="00AC64AE" w:rsidRDefault="00A5683F" w:rsidP="00AC64AE">
      <w:pPr>
        <w:spacing w:after="60" w:line="240" w:lineRule="auto"/>
        <w:jc w:val="both"/>
        <w:rPr>
          <w:rFonts w:ascii="Times New Roman" w:hAnsi="Times New Roman" w:cs="Times New Roman"/>
          <w:sz w:val="24"/>
          <w:szCs w:val="24"/>
        </w:rPr>
      </w:pPr>
    </w:p>
    <w:p w14:paraId="69040800" w14:textId="77777777" w:rsidR="00C41640" w:rsidRDefault="00000000" w:rsidP="00AC64AE">
      <w:pPr>
        <w:spacing w:after="60" w:line="240" w:lineRule="auto"/>
        <w:jc w:val="both"/>
        <w:rPr>
          <w:rFonts w:ascii="Times New Roman" w:hAnsi="Times New Roman" w:cs="Times New Roman"/>
          <w:b/>
          <w:sz w:val="24"/>
          <w:szCs w:val="24"/>
        </w:rPr>
      </w:pPr>
      <w:r w:rsidRPr="00AC64AE">
        <w:rPr>
          <w:rFonts w:ascii="Times New Roman" w:hAnsi="Times New Roman" w:cs="Times New Roman"/>
          <w:b/>
          <w:sz w:val="24"/>
          <w:szCs w:val="24"/>
        </w:rPr>
        <w:t xml:space="preserve">Balancing </w:t>
      </w:r>
      <w:proofErr w:type="spellStart"/>
      <w:r w:rsidRPr="00AC64AE">
        <w:rPr>
          <w:rFonts w:ascii="Times New Roman" w:hAnsi="Times New Roman" w:cs="Times New Roman"/>
          <w:b/>
          <w:sz w:val="24"/>
          <w:szCs w:val="24"/>
        </w:rPr>
        <w:t>FoF</w:t>
      </w:r>
      <w:proofErr w:type="spellEnd"/>
      <w:r w:rsidRPr="00AC64AE">
        <w:rPr>
          <w:rFonts w:ascii="Times New Roman" w:hAnsi="Times New Roman" w:cs="Times New Roman"/>
          <w:b/>
          <w:sz w:val="24"/>
          <w:szCs w:val="24"/>
        </w:rPr>
        <w:t xml:space="preserve"> and </w:t>
      </w:r>
      <w:proofErr w:type="spellStart"/>
      <w:r w:rsidRPr="00AC64AE">
        <w:rPr>
          <w:rFonts w:ascii="Times New Roman" w:hAnsi="Times New Roman" w:cs="Times New Roman"/>
          <w:b/>
          <w:sz w:val="24"/>
          <w:szCs w:val="24"/>
        </w:rPr>
        <w:t>FoM</w:t>
      </w:r>
      <w:proofErr w:type="spellEnd"/>
    </w:p>
    <w:p w14:paraId="371C92F7" w14:textId="77777777" w:rsidR="00A5683F" w:rsidRPr="00AC64AE" w:rsidRDefault="00A5683F" w:rsidP="00AC64AE">
      <w:pPr>
        <w:spacing w:after="60" w:line="240" w:lineRule="auto"/>
        <w:jc w:val="both"/>
        <w:rPr>
          <w:rFonts w:ascii="Times New Roman" w:hAnsi="Times New Roman" w:cs="Times New Roman"/>
          <w:sz w:val="24"/>
          <w:szCs w:val="24"/>
        </w:rPr>
      </w:pPr>
    </w:p>
    <w:p w14:paraId="00000010" w14:textId="6DFB9EB2" w:rsidR="00BB39DF"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 xml:space="preserve">Overemphasis on the form can lead to performance anxiety and inhibit fluency, while excessive focus on meaning may result in fossilized errors. Research (e.g., Ellis, 2003; Ziegler &amp; González-Lloret, 2022) supports a balanced approach, showing that integrating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and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xml:space="preserve"> enhances grammatical accuracy and fluency. Such integration enables learners to sustain meaningful communication while refining their linguistic accuracy.</w:t>
      </w:r>
    </w:p>
    <w:p w14:paraId="2B192250" w14:textId="77777777" w:rsidR="00A5683F" w:rsidRPr="00AC64AE" w:rsidRDefault="00A5683F" w:rsidP="00AC64AE">
      <w:pPr>
        <w:spacing w:after="60" w:line="240" w:lineRule="auto"/>
        <w:jc w:val="both"/>
        <w:rPr>
          <w:rFonts w:ascii="Times New Roman" w:hAnsi="Times New Roman" w:cs="Times New Roman"/>
          <w:sz w:val="24"/>
          <w:szCs w:val="24"/>
        </w:rPr>
      </w:pPr>
    </w:p>
    <w:p w14:paraId="624B2811" w14:textId="33C27571" w:rsidR="00A5683F"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 xml:space="preserve">Lesson </w:t>
      </w:r>
      <w:r w:rsidR="00A5683F">
        <w:rPr>
          <w:rFonts w:ascii="Times New Roman" w:hAnsi="Times New Roman" w:cs="Times New Roman"/>
          <w:b/>
          <w:sz w:val="24"/>
          <w:szCs w:val="24"/>
        </w:rPr>
        <w:t>d</w:t>
      </w:r>
      <w:r w:rsidRPr="00AC64AE">
        <w:rPr>
          <w:rFonts w:ascii="Times New Roman" w:hAnsi="Times New Roman" w:cs="Times New Roman"/>
          <w:b/>
          <w:sz w:val="24"/>
          <w:szCs w:val="24"/>
        </w:rPr>
        <w:t xml:space="preserve">esign: Input </w:t>
      </w:r>
      <w:r w:rsidR="00495779">
        <w:rPr>
          <w:rFonts w:ascii="Times New Roman" w:hAnsi="Times New Roman" w:cs="Times New Roman"/>
          <w:b/>
          <w:sz w:val="24"/>
          <w:szCs w:val="24"/>
        </w:rPr>
        <w:t>E</w:t>
      </w:r>
      <w:r w:rsidRPr="00AC64AE">
        <w:rPr>
          <w:rFonts w:ascii="Times New Roman" w:hAnsi="Times New Roman" w:cs="Times New Roman"/>
          <w:b/>
          <w:sz w:val="24"/>
          <w:szCs w:val="24"/>
        </w:rPr>
        <w:t xml:space="preserve">nhancement </w:t>
      </w:r>
      <w:r w:rsidR="00A5683F">
        <w:rPr>
          <w:rFonts w:ascii="Times New Roman" w:hAnsi="Times New Roman" w:cs="Times New Roman"/>
          <w:b/>
          <w:sz w:val="24"/>
          <w:szCs w:val="24"/>
        </w:rPr>
        <w:t>s</w:t>
      </w:r>
      <w:r w:rsidRPr="00AC64AE">
        <w:rPr>
          <w:rFonts w:ascii="Times New Roman" w:hAnsi="Times New Roman" w:cs="Times New Roman"/>
          <w:b/>
          <w:sz w:val="24"/>
          <w:szCs w:val="24"/>
        </w:rPr>
        <w:t>trategies</w:t>
      </w:r>
      <w:r w:rsidRPr="00AC64AE">
        <w:rPr>
          <w:rFonts w:ascii="Times New Roman" w:hAnsi="Times New Roman" w:cs="Times New Roman"/>
          <w:sz w:val="24"/>
          <w:szCs w:val="24"/>
        </w:rPr>
        <w:t xml:space="preserve"> </w:t>
      </w:r>
    </w:p>
    <w:p w14:paraId="3DDA7884" w14:textId="77777777" w:rsidR="00A5683F" w:rsidRDefault="00A5683F" w:rsidP="00AC64AE">
      <w:pPr>
        <w:spacing w:after="60" w:line="240" w:lineRule="auto"/>
        <w:jc w:val="both"/>
        <w:rPr>
          <w:rFonts w:ascii="Times New Roman" w:hAnsi="Times New Roman" w:cs="Times New Roman"/>
          <w:sz w:val="24"/>
          <w:szCs w:val="24"/>
        </w:rPr>
      </w:pPr>
    </w:p>
    <w:p w14:paraId="00000011" w14:textId="784D058A" w:rsidR="00BB39DF"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 xml:space="preserve">To achieve a balance between </w:t>
      </w:r>
      <w:proofErr w:type="spellStart"/>
      <w:r w:rsidRPr="00AC64AE">
        <w:rPr>
          <w:rFonts w:ascii="Times New Roman" w:hAnsi="Times New Roman" w:cs="Times New Roman"/>
          <w:sz w:val="24"/>
          <w:szCs w:val="24"/>
        </w:rPr>
        <w:t>FoF</w:t>
      </w:r>
      <w:proofErr w:type="spellEnd"/>
      <w:r w:rsidRPr="00AC64AE">
        <w:rPr>
          <w:rFonts w:ascii="Times New Roman" w:hAnsi="Times New Roman" w:cs="Times New Roman"/>
          <w:sz w:val="24"/>
          <w:szCs w:val="24"/>
        </w:rPr>
        <w:t xml:space="preserve"> and </w:t>
      </w:r>
      <w:proofErr w:type="spellStart"/>
      <w:r w:rsidRPr="00AC64AE">
        <w:rPr>
          <w:rFonts w:ascii="Times New Roman" w:hAnsi="Times New Roman" w:cs="Times New Roman"/>
          <w:sz w:val="24"/>
          <w:szCs w:val="24"/>
        </w:rPr>
        <w:t>FoM</w:t>
      </w:r>
      <w:proofErr w:type="spellEnd"/>
      <w:r w:rsidRPr="00AC64AE">
        <w:rPr>
          <w:rFonts w:ascii="Times New Roman" w:hAnsi="Times New Roman" w:cs="Times New Roman"/>
          <w:sz w:val="24"/>
          <w:szCs w:val="24"/>
        </w:rPr>
        <w:t>, lesson designs can incorporate Input Enhancement strategies such as:</w:t>
      </w:r>
    </w:p>
    <w:p w14:paraId="59160522" w14:textId="77777777" w:rsidR="00A5683F" w:rsidRPr="00AC64AE" w:rsidRDefault="00A5683F" w:rsidP="00AC64AE">
      <w:pPr>
        <w:spacing w:after="60" w:line="240" w:lineRule="auto"/>
        <w:jc w:val="both"/>
        <w:rPr>
          <w:rFonts w:ascii="Times New Roman" w:hAnsi="Times New Roman" w:cs="Times New Roman"/>
          <w:sz w:val="24"/>
          <w:szCs w:val="24"/>
        </w:rPr>
      </w:pPr>
    </w:p>
    <w:p w14:paraId="00000012" w14:textId="77777777" w:rsidR="00BB39DF" w:rsidRPr="00AC64AE" w:rsidRDefault="00000000" w:rsidP="00AC64AE">
      <w:pPr>
        <w:numPr>
          <w:ilvl w:val="0"/>
          <w:numId w:val="2"/>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lastRenderedPageBreak/>
        <w:t>Textual Enhancement:</w:t>
      </w:r>
      <w:r w:rsidRPr="00AC64AE">
        <w:rPr>
          <w:rFonts w:ascii="Times New Roman" w:hAnsi="Times New Roman" w:cs="Times New Roman"/>
          <w:sz w:val="24"/>
          <w:szCs w:val="24"/>
        </w:rPr>
        <w:t xml:space="preserve"> Highlighting specific forms in reading materials using bolding, underlining, or highlighting. For example, emphasizing past tense verbs in a narrative helps learners notice and understand their usage.</w:t>
      </w:r>
    </w:p>
    <w:p w14:paraId="00000013" w14:textId="77777777" w:rsidR="00BB39DF" w:rsidRPr="00AC64AE" w:rsidRDefault="00000000" w:rsidP="00AC64AE">
      <w:pPr>
        <w:numPr>
          <w:ilvl w:val="0"/>
          <w:numId w:val="2"/>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Task-Based Input Enhancement:</w:t>
      </w:r>
      <w:r w:rsidRPr="00AC64AE">
        <w:rPr>
          <w:rFonts w:ascii="Times New Roman" w:hAnsi="Times New Roman" w:cs="Times New Roman"/>
          <w:sz w:val="24"/>
          <w:szCs w:val="24"/>
        </w:rPr>
        <w:t xml:space="preserve"> Embedding grammar focus within communicative tasks, such as role-plays requiring conditional sentences (e.g., “If I were you, I would…”).</w:t>
      </w:r>
    </w:p>
    <w:p w14:paraId="00000014" w14:textId="77777777" w:rsidR="00BB39DF" w:rsidRPr="00AC64AE" w:rsidRDefault="00000000" w:rsidP="00AC64AE">
      <w:pPr>
        <w:numPr>
          <w:ilvl w:val="0"/>
          <w:numId w:val="2"/>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Interactive Feedback:</w:t>
      </w:r>
      <w:r w:rsidRPr="00AC64AE">
        <w:rPr>
          <w:rFonts w:ascii="Times New Roman" w:hAnsi="Times New Roman" w:cs="Times New Roman"/>
          <w:sz w:val="24"/>
          <w:szCs w:val="24"/>
        </w:rPr>
        <w:t xml:space="preserve"> Providing form-focused feedback during communication-focused tasks without disrupting the flow. For instance, correcting a learner’s verb tense during a discussion in a seamless manner.</w:t>
      </w:r>
    </w:p>
    <w:p w14:paraId="665A11FE" w14:textId="77777777" w:rsidR="00A5683F" w:rsidRDefault="00A5683F" w:rsidP="00AC64AE">
      <w:pPr>
        <w:spacing w:after="60" w:line="240" w:lineRule="auto"/>
        <w:jc w:val="both"/>
        <w:rPr>
          <w:rFonts w:ascii="Times New Roman" w:hAnsi="Times New Roman" w:cs="Times New Roman"/>
          <w:b/>
          <w:sz w:val="24"/>
          <w:szCs w:val="24"/>
        </w:rPr>
      </w:pPr>
    </w:p>
    <w:p w14:paraId="612D15CA" w14:textId="5B9AD138" w:rsidR="00A5683F"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 xml:space="preserve">Input </w:t>
      </w:r>
      <w:r w:rsidR="00495779">
        <w:rPr>
          <w:rFonts w:ascii="Times New Roman" w:hAnsi="Times New Roman" w:cs="Times New Roman"/>
          <w:b/>
          <w:sz w:val="24"/>
          <w:szCs w:val="24"/>
        </w:rPr>
        <w:t>E</w:t>
      </w:r>
      <w:r w:rsidRPr="00AC64AE">
        <w:rPr>
          <w:rFonts w:ascii="Times New Roman" w:hAnsi="Times New Roman" w:cs="Times New Roman"/>
          <w:b/>
          <w:sz w:val="24"/>
          <w:szCs w:val="24"/>
        </w:rPr>
        <w:t xml:space="preserve">nhancement </w:t>
      </w:r>
      <w:r w:rsidR="00A5683F">
        <w:rPr>
          <w:rFonts w:ascii="Times New Roman" w:hAnsi="Times New Roman" w:cs="Times New Roman"/>
          <w:b/>
          <w:sz w:val="24"/>
          <w:szCs w:val="24"/>
        </w:rPr>
        <w:t>a</w:t>
      </w:r>
      <w:r w:rsidRPr="00AC64AE">
        <w:rPr>
          <w:rFonts w:ascii="Times New Roman" w:hAnsi="Times New Roman" w:cs="Times New Roman"/>
          <w:b/>
          <w:sz w:val="24"/>
          <w:szCs w:val="24"/>
        </w:rPr>
        <w:t xml:space="preserve">cross </w:t>
      </w:r>
      <w:r w:rsidR="00A5683F">
        <w:rPr>
          <w:rFonts w:ascii="Times New Roman" w:hAnsi="Times New Roman" w:cs="Times New Roman"/>
          <w:b/>
          <w:sz w:val="24"/>
          <w:szCs w:val="24"/>
        </w:rPr>
        <w:t>m</w:t>
      </w:r>
      <w:r w:rsidRPr="00AC64AE">
        <w:rPr>
          <w:rFonts w:ascii="Times New Roman" w:hAnsi="Times New Roman" w:cs="Times New Roman"/>
          <w:b/>
          <w:sz w:val="24"/>
          <w:szCs w:val="24"/>
        </w:rPr>
        <w:t>odalities</w:t>
      </w:r>
      <w:r w:rsidRPr="00AC64AE">
        <w:rPr>
          <w:rFonts w:ascii="Times New Roman" w:hAnsi="Times New Roman" w:cs="Times New Roman"/>
          <w:sz w:val="24"/>
          <w:szCs w:val="24"/>
        </w:rPr>
        <w:t xml:space="preserve"> </w:t>
      </w:r>
    </w:p>
    <w:p w14:paraId="22F7BD16" w14:textId="77777777" w:rsidR="00A5683F" w:rsidRDefault="00A5683F" w:rsidP="00AC64AE">
      <w:pPr>
        <w:spacing w:after="60" w:line="240" w:lineRule="auto"/>
        <w:jc w:val="both"/>
        <w:rPr>
          <w:rFonts w:ascii="Times New Roman" w:hAnsi="Times New Roman" w:cs="Times New Roman"/>
          <w:sz w:val="24"/>
          <w:szCs w:val="24"/>
        </w:rPr>
      </w:pPr>
    </w:p>
    <w:p w14:paraId="00000015" w14:textId="19A9D25B" w:rsidR="00BB39DF"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Input Enhancement can be applied to various modalities:</w:t>
      </w:r>
    </w:p>
    <w:p w14:paraId="2DC955C9" w14:textId="77777777" w:rsidR="00A5683F" w:rsidRPr="00AC64AE" w:rsidRDefault="00A5683F" w:rsidP="00AC64AE">
      <w:pPr>
        <w:spacing w:after="60" w:line="240" w:lineRule="auto"/>
        <w:jc w:val="both"/>
        <w:rPr>
          <w:rFonts w:ascii="Times New Roman" w:hAnsi="Times New Roman" w:cs="Times New Roman"/>
          <w:sz w:val="24"/>
          <w:szCs w:val="24"/>
        </w:rPr>
      </w:pPr>
    </w:p>
    <w:p w14:paraId="00000016" w14:textId="77777777" w:rsidR="00BB39DF" w:rsidRPr="00AC64AE" w:rsidRDefault="00000000" w:rsidP="00AC64AE">
      <w:pPr>
        <w:numPr>
          <w:ilvl w:val="0"/>
          <w:numId w:val="3"/>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Listening:</w:t>
      </w:r>
      <w:r w:rsidRPr="00AC64AE">
        <w:rPr>
          <w:rFonts w:ascii="Times New Roman" w:hAnsi="Times New Roman" w:cs="Times New Roman"/>
          <w:sz w:val="24"/>
          <w:szCs w:val="24"/>
        </w:rPr>
        <w:t xml:space="preserve"> Audio materials highlighting specific structures (e.g., repeated use of modals) help learners notice and internalize these forms.</w:t>
      </w:r>
    </w:p>
    <w:p w14:paraId="00000017" w14:textId="77777777" w:rsidR="00BB39DF" w:rsidRPr="00AC64AE" w:rsidRDefault="00000000" w:rsidP="00AC64AE">
      <w:pPr>
        <w:numPr>
          <w:ilvl w:val="0"/>
          <w:numId w:val="3"/>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Speaking:</w:t>
      </w:r>
      <w:r w:rsidRPr="00AC64AE">
        <w:rPr>
          <w:rFonts w:ascii="Times New Roman" w:hAnsi="Times New Roman" w:cs="Times New Roman"/>
          <w:sz w:val="24"/>
          <w:szCs w:val="24"/>
        </w:rPr>
        <w:t xml:space="preserve"> Scaffolding strategies, such as modeling complex sentences, encourage accurate use of forms during oral activities.</w:t>
      </w:r>
    </w:p>
    <w:p w14:paraId="00000018" w14:textId="77777777" w:rsidR="00BB39DF" w:rsidRPr="00AC64AE" w:rsidRDefault="00000000" w:rsidP="00AC64AE">
      <w:pPr>
        <w:numPr>
          <w:ilvl w:val="0"/>
          <w:numId w:val="3"/>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Reading and Writing:</w:t>
      </w:r>
      <w:r w:rsidRPr="00AC64AE">
        <w:rPr>
          <w:rFonts w:ascii="Times New Roman" w:hAnsi="Times New Roman" w:cs="Times New Roman"/>
          <w:sz w:val="24"/>
          <w:szCs w:val="24"/>
        </w:rPr>
        <w:t xml:space="preserve"> Highlighting target structures in texts and providing corrective feedback in writing tasks enhance grammatical awareness and accuracy.</w:t>
      </w:r>
    </w:p>
    <w:p w14:paraId="43BEED73" w14:textId="77777777" w:rsidR="00495779" w:rsidRDefault="00495779" w:rsidP="00AC64AE">
      <w:pPr>
        <w:spacing w:after="60" w:line="240" w:lineRule="auto"/>
        <w:jc w:val="both"/>
        <w:rPr>
          <w:rFonts w:ascii="Times New Roman" w:hAnsi="Times New Roman" w:cs="Times New Roman"/>
          <w:b/>
          <w:sz w:val="24"/>
          <w:szCs w:val="24"/>
        </w:rPr>
      </w:pPr>
    </w:p>
    <w:p w14:paraId="00000019" w14:textId="0A5FB84D" w:rsidR="00BB39DF" w:rsidRDefault="00000000" w:rsidP="00AC64AE">
      <w:pPr>
        <w:spacing w:after="60" w:line="240" w:lineRule="auto"/>
        <w:jc w:val="both"/>
        <w:rPr>
          <w:rFonts w:ascii="Times New Roman" w:hAnsi="Times New Roman" w:cs="Times New Roman"/>
          <w:b/>
          <w:sz w:val="24"/>
          <w:szCs w:val="24"/>
        </w:rPr>
      </w:pPr>
      <w:r w:rsidRPr="00AC64AE">
        <w:rPr>
          <w:rFonts w:ascii="Times New Roman" w:hAnsi="Times New Roman" w:cs="Times New Roman"/>
          <w:b/>
          <w:sz w:val="24"/>
          <w:szCs w:val="24"/>
        </w:rPr>
        <w:t xml:space="preserve">Challenges in </w:t>
      </w:r>
      <w:r w:rsidR="00495779">
        <w:rPr>
          <w:rFonts w:ascii="Times New Roman" w:hAnsi="Times New Roman" w:cs="Times New Roman"/>
          <w:b/>
          <w:sz w:val="24"/>
          <w:szCs w:val="24"/>
        </w:rPr>
        <w:t>i</w:t>
      </w:r>
      <w:r w:rsidRPr="00AC64AE">
        <w:rPr>
          <w:rFonts w:ascii="Times New Roman" w:hAnsi="Times New Roman" w:cs="Times New Roman"/>
          <w:b/>
          <w:sz w:val="24"/>
          <w:szCs w:val="24"/>
        </w:rPr>
        <w:t>mplementing Input Enhancement</w:t>
      </w:r>
    </w:p>
    <w:p w14:paraId="637EC72D" w14:textId="77777777" w:rsidR="00495779" w:rsidRPr="00AC64AE" w:rsidRDefault="00495779" w:rsidP="00AC64AE">
      <w:pPr>
        <w:spacing w:after="60" w:line="240" w:lineRule="auto"/>
        <w:jc w:val="both"/>
        <w:rPr>
          <w:rFonts w:ascii="Times New Roman" w:hAnsi="Times New Roman" w:cs="Times New Roman"/>
          <w:b/>
          <w:sz w:val="24"/>
          <w:szCs w:val="24"/>
        </w:rPr>
      </w:pPr>
    </w:p>
    <w:p w14:paraId="0000001A" w14:textId="77777777" w:rsidR="00BB39DF" w:rsidRPr="00AC64AE" w:rsidRDefault="00000000" w:rsidP="00AC64AE">
      <w:pPr>
        <w:numPr>
          <w:ilvl w:val="0"/>
          <w:numId w:val="4"/>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Avoiding Learner Overload:</w:t>
      </w:r>
      <w:r w:rsidRPr="00AC64AE">
        <w:rPr>
          <w:rFonts w:ascii="Times New Roman" w:hAnsi="Times New Roman" w:cs="Times New Roman"/>
          <w:sz w:val="24"/>
          <w:szCs w:val="24"/>
        </w:rPr>
        <w:t xml:space="preserve"> Overloading learners with too many enhanced forms can lead to confusion and frustration. Gradually increasing task complexity and focusing on key forms can mitigate this issue.</w:t>
      </w:r>
    </w:p>
    <w:p w14:paraId="0000001B" w14:textId="77777777" w:rsidR="00BB39DF" w:rsidRPr="00AC64AE" w:rsidRDefault="00000000" w:rsidP="00AC64AE">
      <w:pPr>
        <w:numPr>
          <w:ilvl w:val="0"/>
          <w:numId w:val="4"/>
        </w:numPr>
        <w:spacing w:after="60" w:line="240" w:lineRule="auto"/>
        <w:jc w:val="both"/>
        <w:rPr>
          <w:rFonts w:ascii="Times New Roman" w:hAnsi="Times New Roman" w:cs="Times New Roman"/>
          <w:sz w:val="24"/>
          <w:szCs w:val="24"/>
        </w:rPr>
      </w:pPr>
      <w:r w:rsidRPr="00AC64AE">
        <w:rPr>
          <w:rFonts w:ascii="Times New Roman" w:hAnsi="Times New Roman" w:cs="Times New Roman"/>
          <w:b/>
          <w:sz w:val="24"/>
          <w:szCs w:val="24"/>
        </w:rPr>
        <w:t>Balancing Grammar Focus with Communication:</w:t>
      </w:r>
      <w:r w:rsidRPr="00AC64AE">
        <w:rPr>
          <w:rFonts w:ascii="Times New Roman" w:hAnsi="Times New Roman" w:cs="Times New Roman"/>
          <w:sz w:val="24"/>
          <w:szCs w:val="24"/>
        </w:rPr>
        <w:t xml:space="preserve"> Teachers must ensure that grammar instruction does not overshadow meaningful communication. Flexibility and careful planning are crucial to integrating form and meaning effectively.</w:t>
      </w:r>
    </w:p>
    <w:p w14:paraId="0980007A" w14:textId="77777777" w:rsidR="00A5683F" w:rsidRDefault="00A5683F" w:rsidP="00AC64AE">
      <w:pPr>
        <w:spacing w:after="60" w:line="240" w:lineRule="auto"/>
        <w:jc w:val="both"/>
        <w:rPr>
          <w:rFonts w:ascii="Times New Roman" w:hAnsi="Times New Roman" w:cs="Times New Roman"/>
          <w:sz w:val="24"/>
          <w:szCs w:val="24"/>
        </w:rPr>
      </w:pPr>
    </w:p>
    <w:p w14:paraId="0000001C" w14:textId="3CCFC331" w:rsidR="00BB39DF" w:rsidRPr="00AC64AE" w:rsidRDefault="00000000" w:rsidP="00AC64AE">
      <w:pPr>
        <w:spacing w:after="60" w:line="240" w:lineRule="auto"/>
        <w:jc w:val="both"/>
        <w:rPr>
          <w:rFonts w:ascii="Times New Roman" w:hAnsi="Times New Roman" w:cs="Times New Roman"/>
          <w:sz w:val="24"/>
          <w:szCs w:val="24"/>
        </w:rPr>
      </w:pPr>
      <w:r w:rsidRPr="00AC64AE">
        <w:rPr>
          <w:rFonts w:ascii="Times New Roman" w:hAnsi="Times New Roman" w:cs="Times New Roman"/>
          <w:sz w:val="24"/>
          <w:szCs w:val="24"/>
        </w:rPr>
        <w:t>Input Enhancement supports SLA by making linguistic forms more salient, promoting both grammatical accuracy and communicative fluency. Techniques such as textual enhancement, task-based input enhancement, and interactive feedback help learners notice, process, and use new forms effectively. By addressing challenges like learner overload and balancing grammar with communication, teachers can create a learning environment that fosters holistic language development. Input Enhancement thus offers a valuable approach to SLA, enabling learners to engage with language both accurately and fluently.</w:t>
      </w:r>
    </w:p>
    <w:p w14:paraId="0000001D" w14:textId="77777777" w:rsidR="00BB39DF" w:rsidRDefault="00BB39DF" w:rsidP="00AC64AE">
      <w:pPr>
        <w:spacing w:after="60" w:line="240" w:lineRule="auto"/>
        <w:rPr>
          <w:rFonts w:ascii="Times New Roman" w:hAnsi="Times New Roman" w:cs="Times New Roman"/>
          <w:sz w:val="24"/>
          <w:szCs w:val="24"/>
        </w:rPr>
      </w:pPr>
    </w:p>
    <w:p w14:paraId="043F7FB4" w14:textId="0E9EFB5A" w:rsidR="00375006" w:rsidRDefault="00375006" w:rsidP="00AC64AE">
      <w:pPr>
        <w:spacing w:after="60" w:line="240" w:lineRule="auto"/>
        <w:rPr>
          <w:rFonts w:ascii="Times New Roman" w:hAnsi="Times New Roman" w:cs="Times New Roman"/>
          <w:b/>
          <w:bCs/>
          <w:sz w:val="24"/>
          <w:szCs w:val="24"/>
        </w:rPr>
      </w:pPr>
      <w:r w:rsidRPr="00375006">
        <w:rPr>
          <w:rFonts w:ascii="Times New Roman" w:hAnsi="Times New Roman" w:cs="Times New Roman"/>
          <w:b/>
          <w:bCs/>
          <w:sz w:val="24"/>
          <w:szCs w:val="24"/>
        </w:rPr>
        <w:t>References</w:t>
      </w:r>
    </w:p>
    <w:p w14:paraId="26C28E61" w14:textId="77777777" w:rsidR="00495779" w:rsidRDefault="00495779" w:rsidP="00AC64AE">
      <w:pPr>
        <w:spacing w:after="60" w:line="240" w:lineRule="auto"/>
        <w:rPr>
          <w:rFonts w:ascii="Times New Roman" w:hAnsi="Times New Roman" w:cs="Times New Roman"/>
          <w:b/>
          <w:bCs/>
          <w:sz w:val="24"/>
          <w:szCs w:val="24"/>
        </w:rPr>
      </w:pPr>
    </w:p>
    <w:p w14:paraId="35B5CCF7" w14:textId="77777777" w:rsidR="00D622AD" w:rsidRDefault="00375006" w:rsidP="00D622AD">
      <w:pPr>
        <w:jc w:val="both"/>
        <w:rPr>
          <w:rFonts w:ascii="Times New Roman" w:hAnsi="Times New Roman" w:cs="Times New Roman"/>
        </w:rPr>
      </w:pPr>
      <w:r w:rsidRPr="00D863E7">
        <w:rPr>
          <w:rFonts w:ascii="Times New Roman" w:hAnsi="Times New Roman" w:cs="Times New Roman"/>
        </w:rPr>
        <w:t xml:space="preserve">Ellis, R. (2003). Task-based Language Learning and Teaching. Oxford University Press. </w:t>
      </w:r>
    </w:p>
    <w:p w14:paraId="097EFCAF" w14:textId="77777777" w:rsidR="00D622AD" w:rsidRDefault="00375006" w:rsidP="00D622AD">
      <w:pPr>
        <w:jc w:val="both"/>
        <w:rPr>
          <w:rFonts w:ascii="Times New Roman" w:hAnsi="Times New Roman" w:cs="Times New Roman"/>
        </w:rPr>
      </w:pPr>
      <w:r w:rsidRPr="00D863E7">
        <w:rPr>
          <w:rFonts w:ascii="Times New Roman" w:hAnsi="Times New Roman" w:cs="Times New Roman"/>
        </w:rPr>
        <w:t>González Parra, D. L. (2014). Application of role-plays to develop conversation skills in the 9th and</w:t>
      </w:r>
      <w:r w:rsidR="00D622AD">
        <w:rPr>
          <w:rFonts w:ascii="Times New Roman" w:hAnsi="Times New Roman" w:cs="Times New Roman"/>
        </w:rPr>
        <w:t xml:space="preserve"> </w:t>
      </w:r>
      <w:r w:rsidRPr="00D863E7">
        <w:rPr>
          <w:rFonts w:ascii="Times New Roman" w:hAnsi="Times New Roman" w:cs="Times New Roman"/>
        </w:rPr>
        <w:t xml:space="preserve">10th </w:t>
      </w:r>
      <w:r w:rsidR="00D622AD">
        <w:rPr>
          <w:rFonts w:ascii="Times New Roman" w:hAnsi="Times New Roman" w:cs="Times New Roman"/>
        </w:rPr>
        <w:t xml:space="preserve">    </w:t>
      </w:r>
    </w:p>
    <w:p w14:paraId="07E642B7" w14:textId="7C87E6FC" w:rsidR="00375006" w:rsidRPr="00D863E7" w:rsidRDefault="00D622AD" w:rsidP="00D622AD">
      <w:pPr>
        <w:jc w:val="both"/>
        <w:rPr>
          <w:rFonts w:ascii="Times New Roman" w:hAnsi="Times New Roman" w:cs="Times New Roman"/>
        </w:rPr>
      </w:pPr>
      <w:r>
        <w:rPr>
          <w:rFonts w:ascii="Times New Roman" w:hAnsi="Times New Roman" w:cs="Times New Roman"/>
        </w:rPr>
        <w:t xml:space="preserve">         </w:t>
      </w:r>
      <w:r w:rsidR="00375006" w:rsidRPr="00D863E7">
        <w:rPr>
          <w:rFonts w:ascii="Times New Roman" w:hAnsi="Times New Roman" w:cs="Times New Roman"/>
        </w:rPr>
        <w:t xml:space="preserve">grade of basic education in a rural School </w:t>
      </w:r>
      <w:proofErr w:type="spellStart"/>
      <w:r w:rsidR="00375006" w:rsidRPr="00D863E7">
        <w:rPr>
          <w:rFonts w:ascii="Times New Roman" w:hAnsi="Times New Roman" w:cs="Times New Roman"/>
        </w:rPr>
        <w:t>Azogues</w:t>
      </w:r>
      <w:proofErr w:type="spellEnd"/>
      <w:r w:rsidR="00375006" w:rsidRPr="00D863E7">
        <w:rPr>
          <w:rFonts w:ascii="Times New Roman" w:hAnsi="Times New Roman" w:cs="Times New Roman"/>
        </w:rPr>
        <w:t>-Ecuador (Master's thesis).</w:t>
      </w:r>
    </w:p>
    <w:p w14:paraId="101FEAA1" w14:textId="77777777" w:rsidR="00A5683F" w:rsidRDefault="00375006" w:rsidP="00A5683F">
      <w:pPr>
        <w:jc w:val="both"/>
        <w:rPr>
          <w:rFonts w:ascii="Times New Roman" w:hAnsi="Times New Roman" w:cs="Times New Roman"/>
        </w:rPr>
      </w:pPr>
      <w:r w:rsidRPr="00D863E7">
        <w:rPr>
          <w:rFonts w:ascii="Times New Roman" w:hAnsi="Times New Roman" w:cs="Times New Roman"/>
        </w:rPr>
        <w:lastRenderedPageBreak/>
        <w:t xml:space="preserve">Goto, S. (2002). Basic Writing and Policy Reform: Why We Keep Talking Past Each </w:t>
      </w:r>
      <w:proofErr w:type="gramStart"/>
      <w:r w:rsidRPr="00D863E7">
        <w:rPr>
          <w:rFonts w:ascii="Times New Roman" w:hAnsi="Times New Roman" w:cs="Times New Roman"/>
        </w:rPr>
        <w:t>Other,.</w:t>
      </w:r>
      <w:proofErr w:type="gramEnd"/>
      <w:r w:rsidRPr="00D863E7">
        <w:rPr>
          <w:rFonts w:ascii="Times New Roman" w:hAnsi="Times New Roman" w:cs="Times New Roman"/>
        </w:rPr>
        <w:t xml:space="preserve"> Journal of </w:t>
      </w:r>
      <w:r w:rsidR="00A5683F">
        <w:rPr>
          <w:rFonts w:ascii="Times New Roman" w:hAnsi="Times New Roman" w:cs="Times New Roman"/>
        </w:rPr>
        <w:t xml:space="preserve">  </w:t>
      </w:r>
    </w:p>
    <w:p w14:paraId="279A2D97" w14:textId="3E47A784" w:rsidR="00375006" w:rsidRPr="00D863E7" w:rsidRDefault="00A5683F" w:rsidP="00A5683F">
      <w:pPr>
        <w:jc w:val="both"/>
        <w:rPr>
          <w:rFonts w:ascii="Times New Roman" w:hAnsi="Times New Roman" w:cs="Times New Roman"/>
        </w:rPr>
      </w:pPr>
      <w:r>
        <w:rPr>
          <w:rFonts w:ascii="Times New Roman" w:hAnsi="Times New Roman" w:cs="Times New Roman"/>
        </w:rPr>
        <w:t xml:space="preserve">         </w:t>
      </w:r>
      <w:r w:rsidR="00375006" w:rsidRPr="00D863E7">
        <w:rPr>
          <w:rFonts w:ascii="Times New Roman" w:hAnsi="Times New Roman" w:cs="Times New Roman"/>
        </w:rPr>
        <w:t xml:space="preserve">Basic Writing, 21(2), 4–20. </w:t>
      </w:r>
      <w:hyperlink r:id="rId6" w:history="1">
        <w:r w:rsidR="00375006" w:rsidRPr="00D863E7">
          <w:rPr>
            <w:rStyle w:val="Hyperlink"/>
            <w:rFonts w:ascii="Times New Roman" w:hAnsi="Times New Roman" w:cs="Times New Roman"/>
          </w:rPr>
          <w:t>https://doi.org/10.37514/jbw-j.2002.21.2.02</w:t>
        </w:r>
      </w:hyperlink>
      <w:r w:rsidR="00375006" w:rsidRPr="00D863E7">
        <w:rPr>
          <w:rFonts w:ascii="Times New Roman" w:hAnsi="Times New Roman" w:cs="Times New Roman"/>
        </w:rPr>
        <w:t xml:space="preserve">  </w:t>
      </w:r>
    </w:p>
    <w:p w14:paraId="60D3BBCA" w14:textId="65BD0F2A" w:rsidR="00375006" w:rsidRPr="00D863E7" w:rsidRDefault="00375006" w:rsidP="00375006">
      <w:pPr>
        <w:ind w:left="720" w:hanging="360"/>
        <w:jc w:val="both"/>
        <w:rPr>
          <w:rFonts w:ascii="Times New Roman" w:hAnsi="Times New Roman" w:cs="Times New Roman"/>
        </w:rPr>
      </w:pPr>
      <w:r w:rsidRPr="00D863E7">
        <w:rPr>
          <w:rFonts w:ascii="Times New Roman" w:hAnsi="Times New Roman" w:cs="Times New Roman"/>
        </w:rPr>
        <w:t xml:space="preserve">Schmidt, R. W. (1995). Attention and Awareness in Foreign Language Learning. Natl Foreign Resource Ctr. </w:t>
      </w:r>
    </w:p>
    <w:p w14:paraId="35D82E98" w14:textId="0C94A23A" w:rsidR="00375006" w:rsidRPr="00D863E7" w:rsidRDefault="00375006" w:rsidP="00375006">
      <w:pPr>
        <w:ind w:left="720" w:hanging="360"/>
        <w:jc w:val="both"/>
        <w:rPr>
          <w:rFonts w:ascii="Times New Roman" w:hAnsi="Times New Roman" w:cs="Times New Roman"/>
        </w:rPr>
      </w:pPr>
      <w:r w:rsidRPr="00D863E7">
        <w:rPr>
          <w:rFonts w:ascii="Times New Roman" w:hAnsi="Times New Roman" w:cs="Times New Roman"/>
        </w:rPr>
        <w:t>Smith, M. S. (1993). Input Enhancement in Instructed SLA. Studies in Second Language Acquisition,</w:t>
      </w:r>
      <w:r w:rsidR="00A5683F">
        <w:rPr>
          <w:rFonts w:ascii="Times New Roman" w:hAnsi="Times New Roman" w:cs="Times New Roman"/>
        </w:rPr>
        <w:t xml:space="preserve"> </w:t>
      </w:r>
      <w:r w:rsidRPr="00D863E7">
        <w:rPr>
          <w:rFonts w:ascii="Times New Roman" w:hAnsi="Times New Roman" w:cs="Times New Roman"/>
        </w:rPr>
        <w:t xml:space="preserve">15(2), 165–179. </w:t>
      </w:r>
      <w:hyperlink r:id="rId7" w:history="1">
        <w:r w:rsidRPr="00D863E7">
          <w:rPr>
            <w:rStyle w:val="Hyperlink"/>
            <w:rFonts w:ascii="Times New Roman" w:hAnsi="Times New Roman" w:cs="Times New Roman"/>
          </w:rPr>
          <w:t>https://doi.org/10.1017/s0272263100011943</w:t>
        </w:r>
      </w:hyperlink>
      <w:r w:rsidRPr="00D863E7">
        <w:rPr>
          <w:rFonts w:ascii="Times New Roman" w:hAnsi="Times New Roman" w:cs="Times New Roman"/>
        </w:rPr>
        <w:t xml:space="preserve">  </w:t>
      </w:r>
    </w:p>
    <w:p w14:paraId="41803A83" w14:textId="77777777" w:rsidR="00375006" w:rsidRPr="00D863E7" w:rsidRDefault="00375006" w:rsidP="00375006">
      <w:pPr>
        <w:ind w:left="720" w:hanging="360"/>
        <w:jc w:val="both"/>
        <w:rPr>
          <w:rFonts w:ascii="Times New Roman" w:hAnsi="Times New Roman" w:cs="Times New Roman"/>
        </w:rPr>
      </w:pPr>
      <w:r w:rsidRPr="00D863E7">
        <w:rPr>
          <w:rFonts w:ascii="Times New Roman" w:hAnsi="Times New Roman" w:cs="Times New Roman"/>
        </w:rPr>
        <w:t xml:space="preserve">Swain, M., &amp; Lapkin, S. (1998). Interaction and Second Language Learning: Two Adolescent French Immersion Students Working Together. Modern Language Journal, 82(3), 320–337. </w:t>
      </w:r>
      <w:hyperlink r:id="rId8" w:history="1">
        <w:r w:rsidRPr="00D863E7">
          <w:rPr>
            <w:rStyle w:val="Hyperlink"/>
            <w:rFonts w:ascii="Times New Roman" w:hAnsi="Times New Roman" w:cs="Times New Roman"/>
          </w:rPr>
          <w:t>https://doi.org/10.1111/j.1540-4781.1998.tb01209.x</w:t>
        </w:r>
      </w:hyperlink>
      <w:r w:rsidRPr="00D863E7">
        <w:rPr>
          <w:rFonts w:ascii="Times New Roman" w:hAnsi="Times New Roman" w:cs="Times New Roman"/>
        </w:rPr>
        <w:t xml:space="preserve">  </w:t>
      </w:r>
    </w:p>
    <w:p w14:paraId="6F517D64" w14:textId="77777777" w:rsidR="00375006" w:rsidRPr="00D863E7" w:rsidRDefault="00375006" w:rsidP="00375006">
      <w:pPr>
        <w:ind w:left="720" w:hanging="360"/>
        <w:jc w:val="both"/>
        <w:rPr>
          <w:rFonts w:ascii="Times New Roman" w:hAnsi="Times New Roman" w:cs="Times New Roman"/>
        </w:rPr>
      </w:pPr>
      <w:r w:rsidRPr="00D863E7">
        <w:rPr>
          <w:rFonts w:ascii="Times New Roman" w:hAnsi="Times New Roman" w:cs="Times New Roman"/>
        </w:rPr>
        <w:t>VanPatten, B. (1996). Input Processing and Grammar Instruction in Second Language Acquisition. Praeger.</w:t>
      </w:r>
    </w:p>
    <w:p w14:paraId="2444624F" w14:textId="77777777" w:rsidR="00375006" w:rsidRPr="00D863E7" w:rsidRDefault="00375006" w:rsidP="00375006">
      <w:pPr>
        <w:ind w:left="720" w:hanging="360"/>
        <w:jc w:val="both"/>
        <w:rPr>
          <w:rFonts w:ascii="Times New Roman" w:hAnsi="Times New Roman" w:cs="Times New Roman"/>
        </w:rPr>
      </w:pPr>
      <w:r w:rsidRPr="00D863E7">
        <w:rPr>
          <w:rFonts w:ascii="Times New Roman" w:hAnsi="Times New Roman" w:cs="Times New Roman"/>
        </w:rPr>
        <w:t>Ziegler, N., &amp; González-Lloret, M. (2022). The Routledge Handbook of Second Language Acquisition and Technology. Routledge.</w:t>
      </w:r>
    </w:p>
    <w:p w14:paraId="6E7C49A3" w14:textId="77777777" w:rsidR="00375006" w:rsidRPr="00D863E7" w:rsidRDefault="00375006" w:rsidP="00375006">
      <w:pPr>
        <w:ind w:left="720" w:hanging="360"/>
        <w:jc w:val="both"/>
        <w:rPr>
          <w:rFonts w:ascii="Times New Roman" w:hAnsi="Times New Roman" w:cs="Times New Roman"/>
        </w:rPr>
      </w:pPr>
      <w:proofErr w:type="spellStart"/>
      <w:r w:rsidRPr="00D863E7">
        <w:rPr>
          <w:rFonts w:ascii="Times New Roman" w:hAnsi="Times New Roman" w:cs="Times New Roman"/>
        </w:rPr>
        <w:t>Zintgraff</w:t>
      </w:r>
      <w:proofErr w:type="spellEnd"/>
      <w:r w:rsidRPr="00D863E7">
        <w:rPr>
          <w:rFonts w:ascii="Times New Roman" w:hAnsi="Times New Roman" w:cs="Times New Roman"/>
        </w:rPr>
        <w:t xml:space="preserve">, C., &amp; </w:t>
      </w:r>
      <w:proofErr w:type="spellStart"/>
      <w:r w:rsidRPr="00D863E7">
        <w:rPr>
          <w:rFonts w:ascii="Times New Roman" w:hAnsi="Times New Roman" w:cs="Times New Roman"/>
        </w:rPr>
        <w:t>Hirumi</w:t>
      </w:r>
      <w:proofErr w:type="spellEnd"/>
      <w:r w:rsidRPr="00D863E7">
        <w:rPr>
          <w:rFonts w:ascii="Times New Roman" w:hAnsi="Times New Roman" w:cs="Times New Roman"/>
        </w:rPr>
        <w:t xml:space="preserve">, A. (2023). Aligning Learner-Centered Design Philosophy, Theory, Research, and Practice. In Learning, Design, and Technology: An International Compendium of Theory, Research, Practice, and Policy (pp. 33-73). Cham: Springer International Publishing.  </w:t>
      </w:r>
    </w:p>
    <w:p w14:paraId="3121E35C" w14:textId="77777777" w:rsidR="00375006" w:rsidRPr="00652F60" w:rsidRDefault="00375006" w:rsidP="00375006">
      <w:pPr>
        <w:spacing w:after="240"/>
        <w:ind w:left="720" w:hanging="360"/>
        <w:rPr>
          <w:rFonts w:ascii="Times New Roman" w:hAnsi="Times New Roman" w:cs="Times New Roman"/>
        </w:rPr>
      </w:pPr>
    </w:p>
    <w:p w14:paraId="7C1BFEAF" w14:textId="77777777" w:rsidR="00375006" w:rsidRDefault="00375006" w:rsidP="00375006">
      <w:pPr>
        <w:ind w:left="720" w:hanging="360"/>
      </w:pPr>
    </w:p>
    <w:p w14:paraId="17E5D3E0" w14:textId="77777777" w:rsidR="00A5683F" w:rsidRPr="00A5683F" w:rsidRDefault="00A5683F" w:rsidP="00A5683F">
      <w:pPr>
        <w:spacing w:line="240" w:lineRule="auto"/>
        <w:rPr>
          <w:rFonts w:ascii="Times New Roman" w:eastAsia="Times New Roman" w:hAnsi="Times New Roman" w:cs="Times New Roman"/>
          <w:b/>
          <w:bCs/>
          <w:sz w:val="24"/>
          <w:szCs w:val="24"/>
          <w:lang w:val="en-GB" w:eastAsia="pl-PL"/>
        </w:rPr>
      </w:pPr>
      <w:bookmarkStart w:id="2" w:name="_Hlk184399231"/>
      <w:bookmarkStart w:id="3" w:name="_Hlk186967065"/>
      <w:bookmarkStart w:id="4" w:name="_Hlk196234036"/>
      <w:r w:rsidRPr="00A5683F">
        <w:rPr>
          <w:rFonts w:ascii="Times New Roman" w:eastAsia="Times New Roman" w:hAnsi="Times New Roman" w:cs="Times New Roman"/>
          <w:b/>
          <w:sz w:val="24"/>
          <w:szCs w:val="24"/>
          <w:lang w:val="en-US" w:eastAsia="pl-PL"/>
        </w:rPr>
        <w:t xml:space="preserve">Please check the </w:t>
      </w:r>
      <w:r w:rsidRPr="00A5683F">
        <w:rPr>
          <w:rFonts w:ascii="Times New Roman" w:eastAsia="Times New Roman" w:hAnsi="Times New Roman" w:cs="Times New Roman"/>
          <w:b/>
          <w:bCs/>
          <w:sz w:val="24"/>
          <w:szCs w:val="24"/>
          <w:u w:val="single"/>
          <w:lang w:val="en-GB" w:eastAsia="pl-PL"/>
        </w:rPr>
        <w:t>Pilgrims in Segovia Teacher Training courses 2025</w:t>
      </w:r>
      <w:r w:rsidRPr="00A5683F">
        <w:rPr>
          <w:rFonts w:ascii="Times New Roman" w:eastAsia="Times New Roman" w:hAnsi="Times New Roman" w:cs="Times New Roman"/>
          <w:b/>
          <w:bCs/>
          <w:sz w:val="24"/>
          <w:szCs w:val="24"/>
          <w:lang w:val="en-GB" w:eastAsia="pl-PL"/>
        </w:rPr>
        <w:t xml:space="preserve"> </w:t>
      </w:r>
      <w:r w:rsidRPr="00A5683F">
        <w:rPr>
          <w:rFonts w:ascii="Times New Roman" w:eastAsia="Times New Roman" w:hAnsi="Times New Roman" w:cs="Times New Roman"/>
          <w:b/>
          <w:sz w:val="24"/>
          <w:szCs w:val="24"/>
          <w:lang w:val="en-US" w:eastAsia="pl-PL"/>
        </w:rPr>
        <w:t>at Pilgrims website.</w:t>
      </w:r>
    </w:p>
    <w:bookmarkEnd w:id="2"/>
    <w:p w14:paraId="66FDF3A4" w14:textId="77777777" w:rsidR="00A5683F" w:rsidRPr="00A5683F" w:rsidRDefault="00A5683F" w:rsidP="00A5683F">
      <w:pPr>
        <w:spacing w:line="240" w:lineRule="auto"/>
        <w:rPr>
          <w:rFonts w:ascii="Times New Roman" w:eastAsia="Times New Roman" w:hAnsi="Times New Roman" w:cs="Times New Roman"/>
          <w:b/>
          <w:sz w:val="24"/>
          <w:szCs w:val="24"/>
          <w:lang w:val="en-GB" w:eastAsia="pl-PL"/>
        </w:rPr>
      </w:pPr>
    </w:p>
    <w:p w14:paraId="3778CE6B" w14:textId="77777777" w:rsidR="00A5683F" w:rsidRPr="00A5683F" w:rsidRDefault="00A5683F" w:rsidP="00A5683F">
      <w:pPr>
        <w:spacing w:line="240" w:lineRule="auto"/>
        <w:rPr>
          <w:rFonts w:ascii="Times New Roman" w:eastAsia="Times New Roman" w:hAnsi="Times New Roman" w:cs="Times New Roman"/>
          <w:b/>
          <w:sz w:val="24"/>
          <w:szCs w:val="24"/>
          <w:lang w:val="en-US" w:eastAsia="pl-PL"/>
        </w:rPr>
      </w:pPr>
      <w:r w:rsidRPr="00A5683F">
        <w:rPr>
          <w:rFonts w:ascii="Times New Roman" w:eastAsia="Times New Roman" w:hAnsi="Times New Roman" w:cs="Times New Roman"/>
          <w:b/>
          <w:sz w:val="24"/>
          <w:szCs w:val="24"/>
          <w:lang w:val="en-US" w:eastAsia="pl-PL"/>
        </w:rPr>
        <w:t xml:space="preserve">Please check the </w:t>
      </w:r>
      <w:r w:rsidRPr="00A5683F">
        <w:rPr>
          <w:rFonts w:ascii="Times New Roman" w:eastAsia="Times New Roman" w:hAnsi="Times New Roman" w:cs="Times New Roman"/>
          <w:b/>
          <w:sz w:val="24"/>
          <w:szCs w:val="24"/>
          <w:u w:val="single"/>
          <w:lang w:val="en-US" w:eastAsia="pl-PL"/>
        </w:rPr>
        <w:t>Pilgrims f2f courses</w:t>
      </w:r>
      <w:r w:rsidRPr="00A5683F">
        <w:rPr>
          <w:rFonts w:ascii="Times New Roman" w:eastAsia="Times New Roman" w:hAnsi="Times New Roman" w:cs="Times New Roman"/>
          <w:b/>
          <w:sz w:val="24"/>
          <w:szCs w:val="24"/>
          <w:lang w:val="en-US" w:eastAsia="pl-PL"/>
        </w:rPr>
        <w:t xml:space="preserve"> at Pilgrims website.</w:t>
      </w:r>
    </w:p>
    <w:bookmarkEnd w:id="3"/>
    <w:p w14:paraId="3093B1AB" w14:textId="77777777" w:rsidR="00A5683F" w:rsidRPr="00A5683F" w:rsidRDefault="00A5683F" w:rsidP="00A5683F">
      <w:pPr>
        <w:keepNext/>
        <w:spacing w:line="240" w:lineRule="auto"/>
        <w:outlineLvl w:val="2"/>
        <w:rPr>
          <w:rFonts w:ascii="Times New Roman" w:eastAsia="Times New Roman" w:hAnsi="Times New Roman" w:cs="Times New Roman"/>
          <w:color w:val="00B050"/>
          <w:sz w:val="24"/>
          <w:szCs w:val="20"/>
          <w:u w:val="single"/>
          <w:lang w:val="en-US" w:eastAsia="pl-PL"/>
        </w:rPr>
      </w:pPr>
    </w:p>
    <w:bookmarkEnd w:id="4"/>
    <w:p w14:paraId="2D13BBF2" w14:textId="77777777" w:rsidR="00A5683F" w:rsidRPr="00A5683F" w:rsidRDefault="00A5683F" w:rsidP="00A5683F">
      <w:pPr>
        <w:keepNext/>
        <w:spacing w:line="240" w:lineRule="auto"/>
        <w:outlineLvl w:val="2"/>
        <w:rPr>
          <w:rFonts w:ascii="Times New Roman" w:eastAsia="Times New Roman" w:hAnsi="Times New Roman" w:cs="Times New Roman"/>
          <w:color w:val="00B050"/>
          <w:sz w:val="24"/>
          <w:szCs w:val="20"/>
          <w:u w:val="single"/>
          <w:lang w:val="en-GB" w:eastAsia="pl-PL"/>
        </w:rPr>
      </w:pPr>
    </w:p>
    <w:p w14:paraId="09E5A7BF" w14:textId="77777777" w:rsidR="00375006" w:rsidRPr="00A5683F" w:rsidRDefault="00375006" w:rsidP="00375006">
      <w:pPr>
        <w:spacing w:after="60" w:line="240" w:lineRule="auto"/>
        <w:ind w:left="720" w:hanging="360"/>
        <w:rPr>
          <w:rFonts w:ascii="Times New Roman" w:hAnsi="Times New Roman" w:cs="Times New Roman"/>
          <w:sz w:val="24"/>
          <w:szCs w:val="24"/>
          <w:lang w:val="en-GB"/>
        </w:rPr>
      </w:pPr>
    </w:p>
    <w:sectPr w:rsidR="00375006" w:rsidRPr="00A5683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A4E55"/>
    <w:multiLevelType w:val="multilevel"/>
    <w:tmpl w:val="8C1A5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B317994"/>
    <w:multiLevelType w:val="multilevel"/>
    <w:tmpl w:val="EAFE97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07B3AA5"/>
    <w:multiLevelType w:val="multilevel"/>
    <w:tmpl w:val="0AE0A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7BAC4A74"/>
    <w:multiLevelType w:val="multilevel"/>
    <w:tmpl w:val="2F6E1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6746280">
    <w:abstractNumId w:val="0"/>
  </w:num>
  <w:num w:numId="2" w16cid:durableId="847989497">
    <w:abstractNumId w:val="2"/>
  </w:num>
  <w:num w:numId="3" w16cid:durableId="2024434073">
    <w:abstractNumId w:val="3"/>
  </w:num>
  <w:num w:numId="4" w16cid:durableId="1799565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9DF"/>
    <w:rsid w:val="000D26E9"/>
    <w:rsid w:val="001B19A6"/>
    <w:rsid w:val="001B230F"/>
    <w:rsid w:val="00302EF2"/>
    <w:rsid w:val="00331536"/>
    <w:rsid w:val="00375006"/>
    <w:rsid w:val="00495779"/>
    <w:rsid w:val="004F79A3"/>
    <w:rsid w:val="005B3291"/>
    <w:rsid w:val="00635F95"/>
    <w:rsid w:val="006A26DA"/>
    <w:rsid w:val="00732663"/>
    <w:rsid w:val="0080796C"/>
    <w:rsid w:val="00971878"/>
    <w:rsid w:val="00A5683F"/>
    <w:rsid w:val="00AC64AE"/>
    <w:rsid w:val="00B36CFA"/>
    <w:rsid w:val="00BB39DF"/>
    <w:rsid w:val="00C41640"/>
    <w:rsid w:val="00D622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7297"/>
  <w15:docId w15:val="{96343852-4E7A-8E49-B907-569EED00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02EF2"/>
    <w:rPr>
      <w:color w:val="0000FF" w:themeColor="hyperlink"/>
      <w:u w:val="single"/>
    </w:rPr>
  </w:style>
  <w:style w:type="character" w:styleId="UnresolvedMention">
    <w:name w:val="Unresolved Mention"/>
    <w:basedOn w:val="DefaultParagraphFont"/>
    <w:uiPriority w:val="99"/>
    <w:semiHidden/>
    <w:unhideWhenUsed/>
    <w:rsid w:val="00302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11/j.1540-4781.1998.tb01209.x" TargetMode="External"/><Relationship Id="rId3" Type="http://schemas.openxmlformats.org/officeDocument/2006/relationships/settings" Target="settings.xml"/><Relationship Id="rId7" Type="http://schemas.openxmlformats.org/officeDocument/2006/relationships/hyperlink" Target="https://doi.org/10.1017/s02722631000119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7514/jbw-j.2002.21.2.02" TargetMode="External"/><Relationship Id="rId5" Type="http://schemas.openxmlformats.org/officeDocument/2006/relationships/hyperlink" Target="mailto:waqas@student.uns.ac.i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DC37A9-770E-234F-AB8A-98CE88BA6E11}">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2025-05-20T17:36:00Z</dcterms:created>
  <dcterms:modified xsi:type="dcterms:W3CDTF">2025-05-20T17:36:00Z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documentId_3941</vt:lpwstr>
  </property>
  <property fmtid="{D5CDD505-2E9C-101B-9397-08002B2CF9AE}" pid="3" name="grammarly_documentContext">
    <vt:lpwstr>{"goals":[],"domain":"general","emotions":[],"dialect":"american"}</vt:lpwstr>
  </property>
</Properties>
</file>