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49324A" w:rsidRDefault="00000000">
      <w:pPr>
        <w:jc w:val="both"/>
        <w:rPr>
          <w:rFonts w:ascii="Times New Roman" w:hAnsi="Times New Roman" w:cs="Times New Roman"/>
          <w:b/>
          <w:bCs/>
          <w:sz w:val="28"/>
          <w:szCs w:val="28"/>
        </w:rPr>
      </w:pPr>
      <w:r w:rsidRPr="00FF3BF1">
        <w:rPr>
          <w:rFonts w:ascii="Times New Roman" w:hAnsi="Times New Roman" w:cs="Times New Roman"/>
          <w:b/>
          <w:bCs/>
          <w:sz w:val="28"/>
          <w:szCs w:val="28"/>
        </w:rPr>
        <w:t xml:space="preserve">Pop Culture Conventions and Literacy Learning </w:t>
      </w:r>
    </w:p>
    <w:p w14:paraId="2F9F5EA5" w14:textId="77777777" w:rsidR="00FF3BF1" w:rsidRDefault="00FF3BF1">
      <w:pPr>
        <w:jc w:val="both"/>
        <w:rPr>
          <w:rFonts w:ascii="Times New Roman" w:hAnsi="Times New Roman" w:cs="Times New Roman"/>
          <w:b/>
          <w:bCs/>
          <w:sz w:val="28"/>
          <w:szCs w:val="28"/>
        </w:rPr>
      </w:pPr>
    </w:p>
    <w:p w14:paraId="35759584" w14:textId="6CEB8E83" w:rsidR="00FF3BF1" w:rsidRPr="00FF3BF1" w:rsidRDefault="00FF3BF1">
      <w:pPr>
        <w:jc w:val="both"/>
        <w:rPr>
          <w:rFonts w:ascii="Times New Roman" w:hAnsi="Times New Roman" w:cs="Times New Roman"/>
          <w:b/>
          <w:bCs/>
          <w:sz w:val="24"/>
          <w:szCs w:val="24"/>
        </w:rPr>
      </w:pPr>
      <w:r w:rsidRPr="00FF3BF1">
        <w:rPr>
          <w:rFonts w:ascii="Times New Roman" w:hAnsi="Times New Roman" w:cs="Times New Roman"/>
          <w:b/>
          <w:bCs/>
          <w:sz w:val="24"/>
          <w:szCs w:val="24"/>
        </w:rPr>
        <w:t>Paolo Nino Valdez, Philippines</w:t>
      </w:r>
    </w:p>
    <w:p w14:paraId="28394C05" w14:textId="77777777" w:rsidR="00FF3BF1" w:rsidRDefault="00FF3BF1">
      <w:pPr>
        <w:jc w:val="both"/>
        <w:rPr>
          <w:rFonts w:ascii="Times New Roman" w:hAnsi="Times New Roman" w:cs="Times New Roman"/>
          <w:b/>
          <w:bCs/>
          <w:sz w:val="28"/>
          <w:szCs w:val="28"/>
        </w:rPr>
      </w:pPr>
    </w:p>
    <w:p w14:paraId="7CED48FA" w14:textId="5830E831" w:rsidR="00FF3BF1" w:rsidRPr="00FF3BF1" w:rsidRDefault="00FF3BF1" w:rsidP="00FF3BF1">
      <w:pPr>
        <w:shd w:val="clear" w:color="auto" w:fill="FFFFFF"/>
        <w:jc w:val="both"/>
        <w:rPr>
          <w:rFonts w:ascii="Times New Roman" w:hAnsi="Times New Roman" w:cs="Times New Roman"/>
          <w:color w:val="1C1D1E"/>
        </w:rPr>
      </w:pPr>
      <w:r w:rsidRPr="00FF3BF1">
        <w:rPr>
          <w:rFonts w:ascii="Times New Roman" w:hAnsi="Times New Roman" w:cs="Times New Roman"/>
          <w:color w:val="333333"/>
        </w:rPr>
        <w:t xml:space="preserve">Paolo Niño Valdez is </w:t>
      </w:r>
      <w:r w:rsidR="00221B49">
        <w:rPr>
          <w:rFonts w:ascii="Times New Roman" w:hAnsi="Times New Roman" w:cs="Times New Roman"/>
          <w:color w:val="333333"/>
        </w:rPr>
        <w:t xml:space="preserve">a </w:t>
      </w:r>
      <w:r w:rsidRPr="00FF3BF1">
        <w:rPr>
          <w:rFonts w:ascii="Times New Roman" w:hAnsi="Times New Roman" w:cs="Times New Roman"/>
          <w:color w:val="333333"/>
        </w:rPr>
        <w:t>Full Professor at De La Salle University in Manila, Philippines. In 2022</w:t>
      </w:r>
      <w:r w:rsidR="00013B62">
        <w:rPr>
          <w:rFonts w:ascii="Times New Roman" w:hAnsi="Times New Roman" w:cs="Times New Roman"/>
          <w:color w:val="333333"/>
        </w:rPr>
        <w:t>,</w:t>
      </w:r>
      <w:r w:rsidRPr="00FF3BF1">
        <w:rPr>
          <w:rFonts w:ascii="Times New Roman" w:hAnsi="Times New Roman" w:cs="Times New Roman"/>
          <w:color w:val="333333"/>
        </w:rPr>
        <w:t xml:space="preserve"> he was a Fulbright visiting scholar at Hunter College, City University of New York and conducted fieldwork on linguistic landscapes on business establishments and cultural events.  </w:t>
      </w:r>
      <w:r w:rsidR="00F747CF">
        <w:rPr>
          <w:rFonts w:ascii="Times New Roman" w:hAnsi="Times New Roman" w:cs="Times New Roman"/>
          <w:color w:val="333333"/>
        </w:rPr>
        <w:t xml:space="preserve">Email: </w:t>
      </w:r>
      <w:hyperlink r:id="rId4" w:history="1">
        <w:r w:rsidR="00F747CF" w:rsidRPr="00F747CF">
          <w:rPr>
            <w:rStyle w:val="Hyperlink"/>
            <w:rFonts w:ascii="Times New Roman" w:hAnsi="Times New Roman" w:cs="Times New Roman"/>
            <w:color w:val="auto"/>
            <w:u w:val="none"/>
          </w:rPr>
          <w:t>paolo.valdez@dlsu.edu.ph</w:t>
        </w:r>
      </w:hyperlink>
    </w:p>
    <w:p w14:paraId="0907E9AA" w14:textId="77777777" w:rsidR="00FF3BF1" w:rsidRDefault="00FF3BF1">
      <w:pPr>
        <w:jc w:val="both"/>
        <w:rPr>
          <w:rFonts w:ascii="Times New Roman" w:hAnsi="Times New Roman" w:cs="Times New Roman"/>
          <w:b/>
          <w:bCs/>
          <w:sz w:val="28"/>
          <w:szCs w:val="28"/>
        </w:rPr>
      </w:pPr>
    </w:p>
    <w:p w14:paraId="740A1760" w14:textId="3B86FF7D" w:rsidR="00FF3BF1" w:rsidRPr="00FF3BF1" w:rsidRDefault="00FF3BF1">
      <w:pPr>
        <w:jc w:val="both"/>
        <w:rPr>
          <w:rFonts w:ascii="Times New Roman" w:hAnsi="Times New Roman" w:cs="Times New Roman"/>
          <w:b/>
          <w:bCs/>
          <w:sz w:val="24"/>
          <w:szCs w:val="24"/>
        </w:rPr>
      </w:pPr>
      <w:r w:rsidRPr="00FF3BF1">
        <w:rPr>
          <w:rFonts w:ascii="Times New Roman" w:hAnsi="Times New Roman" w:cs="Times New Roman"/>
          <w:b/>
          <w:bCs/>
          <w:sz w:val="24"/>
          <w:szCs w:val="24"/>
        </w:rPr>
        <w:t>Introduction</w:t>
      </w:r>
    </w:p>
    <w:p w14:paraId="00000002" w14:textId="77777777" w:rsidR="0049324A" w:rsidRPr="00FF3BF1" w:rsidRDefault="0049324A">
      <w:pPr>
        <w:jc w:val="both"/>
        <w:rPr>
          <w:rFonts w:ascii="Times New Roman" w:hAnsi="Times New Roman" w:cs="Times New Roman"/>
        </w:rPr>
      </w:pPr>
    </w:p>
    <w:p w14:paraId="00000003" w14:textId="77777777" w:rsidR="0049324A" w:rsidRPr="00FF3BF1" w:rsidRDefault="00000000">
      <w:pPr>
        <w:jc w:val="both"/>
        <w:rPr>
          <w:rFonts w:ascii="Times New Roman" w:hAnsi="Times New Roman" w:cs="Times New Roman"/>
          <w:sz w:val="24"/>
          <w:szCs w:val="24"/>
        </w:rPr>
      </w:pPr>
      <w:r w:rsidRPr="00FF3BF1">
        <w:rPr>
          <w:rFonts w:ascii="Times New Roman" w:hAnsi="Times New Roman" w:cs="Times New Roman"/>
          <w:sz w:val="24"/>
          <w:szCs w:val="24"/>
        </w:rPr>
        <w:t xml:space="preserve">Originally intended as a grassroots activity for fans to converge, conventions have become global pop culture events which feature celebrities, </w:t>
      </w:r>
      <w:proofErr w:type="gramStart"/>
      <w:r w:rsidRPr="00FF3BF1">
        <w:rPr>
          <w:rFonts w:ascii="Times New Roman" w:hAnsi="Times New Roman" w:cs="Times New Roman"/>
          <w:sz w:val="24"/>
          <w:szCs w:val="24"/>
        </w:rPr>
        <w:t>brands</w:t>
      </w:r>
      <w:proofErr w:type="gramEnd"/>
      <w:r w:rsidRPr="00FF3BF1">
        <w:rPr>
          <w:rFonts w:ascii="Times New Roman" w:hAnsi="Times New Roman" w:cs="Times New Roman"/>
          <w:sz w:val="24"/>
          <w:szCs w:val="24"/>
        </w:rPr>
        <w:t xml:space="preserve"> and supporters from different media. Coupled with the prominence of the internet, conventions have not only attracted the attention of fans all over the world but opened opportunities for different forms of entertainment from different countries to participate in these events. For instance, the growing popularity of Anime, third party toy companies and new artforms have eventually become staples to the growing con culture. With this growth, conventions are significant for global brands across different fields to introduce new products and services capitalizing on the </w:t>
      </w:r>
      <w:hyperlink r:id="rId5">
        <w:r w:rsidRPr="00FF3BF1">
          <w:rPr>
            <w:rFonts w:ascii="Times New Roman" w:hAnsi="Times New Roman" w:cs="Times New Roman"/>
            <w:color w:val="1155CC"/>
            <w:sz w:val="24"/>
            <w:szCs w:val="24"/>
            <w:u w:val="single"/>
          </w:rPr>
          <w:t>participatory nature</w:t>
        </w:r>
      </w:hyperlink>
      <w:r w:rsidRPr="00FF3BF1">
        <w:rPr>
          <w:rFonts w:ascii="Times New Roman" w:hAnsi="Times New Roman" w:cs="Times New Roman"/>
          <w:sz w:val="24"/>
          <w:szCs w:val="24"/>
        </w:rPr>
        <w:t xml:space="preserve"> of these events. That is, conventions represent a space within the global market where producers and consumers use different modalities to showcase products and experiences.</w:t>
      </w:r>
    </w:p>
    <w:p w14:paraId="00000004" w14:textId="77777777" w:rsidR="0049324A" w:rsidRPr="00FF3BF1" w:rsidRDefault="0049324A">
      <w:pPr>
        <w:jc w:val="both"/>
        <w:rPr>
          <w:rFonts w:ascii="Times New Roman" w:hAnsi="Times New Roman" w:cs="Times New Roman"/>
          <w:sz w:val="24"/>
          <w:szCs w:val="24"/>
        </w:rPr>
      </w:pPr>
    </w:p>
    <w:p w14:paraId="00000005" w14:textId="77777777" w:rsidR="0049324A" w:rsidRPr="00FF3BF1" w:rsidRDefault="00000000">
      <w:pPr>
        <w:jc w:val="both"/>
        <w:rPr>
          <w:rFonts w:ascii="Times New Roman" w:hAnsi="Times New Roman" w:cs="Times New Roman"/>
          <w:sz w:val="24"/>
          <w:szCs w:val="24"/>
        </w:rPr>
      </w:pPr>
      <w:r w:rsidRPr="00FF3BF1">
        <w:rPr>
          <w:rFonts w:ascii="Times New Roman" w:hAnsi="Times New Roman" w:cs="Times New Roman"/>
          <w:sz w:val="24"/>
          <w:szCs w:val="24"/>
        </w:rPr>
        <w:t xml:space="preserve">Since the world has been slowly recovering from the COVID-19 pandemic in 2020, the return of pop culture activities such as conventions or ‘cons’ has been a welcome change for fans around the world. In the case of New York Comic Con (NYCC) 2022, organizers </w:t>
      </w:r>
      <w:hyperlink r:id="rId6">
        <w:r w:rsidRPr="00FF3BF1">
          <w:rPr>
            <w:rFonts w:ascii="Times New Roman" w:hAnsi="Times New Roman" w:cs="Times New Roman"/>
            <w:color w:val="1155CC"/>
            <w:sz w:val="24"/>
            <w:szCs w:val="24"/>
            <w:u w:val="single"/>
          </w:rPr>
          <w:t xml:space="preserve">reported a larger turnout </w:t>
        </w:r>
      </w:hyperlink>
      <w:r w:rsidRPr="00FF3BF1">
        <w:rPr>
          <w:rFonts w:ascii="Times New Roman" w:hAnsi="Times New Roman" w:cs="Times New Roman"/>
          <w:sz w:val="24"/>
          <w:szCs w:val="24"/>
        </w:rPr>
        <w:t>as most restrictions implemented in the city during the pandemic were lifted earlier in the year.</w:t>
      </w:r>
    </w:p>
    <w:p w14:paraId="00000006" w14:textId="77777777" w:rsidR="0049324A" w:rsidRPr="00FF3BF1" w:rsidRDefault="0049324A">
      <w:pPr>
        <w:jc w:val="both"/>
        <w:rPr>
          <w:rFonts w:ascii="Times New Roman" w:hAnsi="Times New Roman" w:cs="Times New Roman"/>
          <w:sz w:val="24"/>
          <w:szCs w:val="24"/>
        </w:rPr>
      </w:pPr>
    </w:p>
    <w:p w14:paraId="00000007" w14:textId="77777777" w:rsidR="0049324A" w:rsidRPr="00FF3BF1" w:rsidRDefault="00000000">
      <w:pPr>
        <w:jc w:val="both"/>
        <w:rPr>
          <w:rFonts w:ascii="Times New Roman" w:hAnsi="Times New Roman" w:cs="Times New Roman"/>
          <w:sz w:val="24"/>
          <w:szCs w:val="24"/>
        </w:rPr>
      </w:pPr>
      <w:hyperlink r:id="rId7" w:anchor="v=onepage&amp;q&amp;f=false">
        <w:r w:rsidRPr="00FF3BF1">
          <w:rPr>
            <w:rFonts w:ascii="Times New Roman" w:hAnsi="Times New Roman" w:cs="Times New Roman"/>
            <w:color w:val="1155CC"/>
            <w:sz w:val="24"/>
            <w:szCs w:val="24"/>
            <w:u w:val="single"/>
          </w:rPr>
          <w:t>Investigations</w:t>
        </w:r>
      </w:hyperlink>
      <w:r w:rsidRPr="00FF3BF1">
        <w:rPr>
          <w:rFonts w:ascii="Times New Roman" w:hAnsi="Times New Roman" w:cs="Times New Roman"/>
          <w:sz w:val="24"/>
          <w:szCs w:val="24"/>
        </w:rPr>
        <w:t xml:space="preserve"> on fandom have pointed out that conventions are rich sites for research as the contact of languages, cultures and practices result in interesting meaning making processes. As an attendee in NYCC, I also took the opportunity to examine the potential of this event to inform my research and teaching as well. Specifically, this entry reports on the uses of languages and multimodal resources in anime and cosplay in conventions.</w:t>
      </w:r>
    </w:p>
    <w:p w14:paraId="00000008" w14:textId="77777777" w:rsidR="0049324A" w:rsidRPr="00FF3BF1" w:rsidRDefault="0049324A">
      <w:pPr>
        <w:jc w:val="both"/>
        <w:rPr>
          <w:rFonts w:ascii="Times New Roman" w:hAnsi="Times New Roman" w:cs="Times New Roman"/>
          <w:sz w:val="24"/>
          <w:szCs w:val="24"/>
        </w:rPr>
      </w:pPr>
    </w:p>
    <w:p w14:paraId="00000009" w14:textId="77777777" w:rsidR="0049324A" w:rsidRDefault="00000000">
      <w:pPr>
        <w:jc w:val="both"/>
        <w:rPr>
          <w:rFonts w:ascii="Times New Roman" w:eastAsia="Arial Unicode MS" w:hAnsi="Times New Roman" w:cs="Times New Roman"/>
          <w:color w:val="050505"/>
          <w:sz w:val="24"/>
          <w:szCs w:val="24"/>
        </w:rPr>
      </w:pPr>
      <w:r w:rsidRPr="00FF3BF1">
        <w:rPr>
          <w:rFonts w:ascii="Times New Roman" w:hAnsi="Times New Roman" w:cs="Times New Roman"/>
          <w:sz w:val="24"/>
          <w:szCs w:val="24"/>
        </w:rPr>
        <w:t xml:space="preserve">Originating from Japan, </w:t>
      </w:r>
      <w:hyperlink r:id="rId8">
        <w:r w:rsidRPr="00FF3BF1">
          <w:rPr>
            <w:rFonts w:ascii="Times New Roman" w:hAnsi="Times New Roman" w:cs="Times New Roman"/>
            <w:color w:val="1155CC"/>
            <w:sz w:val="24"/>
            <w:szCs w:val="24"/>
            <w:u w:val="single"/>
          </w:rPr>
          <w:t>anime</w:t>
        </w:r>
      </w:hyperlink>
      <w:r w:rsidRPr="00FF3BF1">
        <w:rPr>
          <w:rFonts w:ascii="Times New Roman" w:hAnsi="Times New Roman" w:cs="Times New Roman"/>
          <w:sz w:val="24"/>
          <w:szCs w:val="24"/>
        </w:rPr>
        <w:t xml:space="preserve"> gained prominence globally as a major form of entertainment. In the convention, a significant part of the venue is devoted to different anime programs and merchandise. Aside from props from the popular shows, the Japanese language appears prominently. For instance, the Naruto (a popular program) booth, which recreates the popular ramen place in the show includes the Japanese characters </w:t>
      </w:r>
      <w:proofErr w:type="spellStart"/>
      <w:r w:rsidRPr="00FF3BF1">
        <w:rPr>
          <w:rFonts w:ascii="Times New Roman" w:eastAsia="Arial Unicode MS" w:hAnsi="Times New Roman" w:cs="Times New Roman"/>
          <w:color w:val="050505"/>
          <w:sz w:val="24"/>
          <w:szCs w:val="24"/>
        </w:rPr>
        <w:t>一楽</w:t>
      </w:r>
      <w:proofErr w:type="spellEnd"/>
      <w:r w:rsidRPr="00FF3BF1">
        <w:rPr>
          <w:rFonts w:ascii="Times New Roman" w:eastAsia="Arial Unicode MS" w:hAnsi="Times New Roman" w:cs="Times New Roman"/>
          <w:color w:val="050505"/>
          <w:sz w:val="24"/>
          <w:szCs w:val="24"/>
        </w:rPr>
        <w:t xml:space="preserve"> </w:t>
      </w:r>
      <w:proofErr w:type="spellStart"/>
      <w:r w:rsidRPr="00FF3BF1">
        <w:rPr>
          <w:rFonts w:ascii="Times New Roman" w:eastAsia="Arial Unicode MS" w:hAnsi="Times New Roman" w:cs="Times New Roman"/>
          <w:color w:val="050505"/>
          <w:sz w:val="24"/>
          <w:szCs w:val="24"/>
        </w:rPr>
        <w:t>ラーメン</w:t>
      </w:r>
      <w:proofErr w:type="spellEnd"/>
      <w:r w:rsidRPr="00FF3BF1">
        <w:rPr>
          <w:rFonts w:ascii="Times New Roman" w:eastAsia="Arial Unicode MS" w:hAnsi="Times New Roman" w:cs="Times New Roman"/>
          <w:color w:val="050505"/>
          <w:sz w:val="24"/>
          <w:szCs w:val="24"/>
        </w:rPr>
        <w:t xml:space="preserve">　</w:t>
      </w:r>
      <w:r w:rsidRPr="00FF3BF1">
        <w:rPr>
          <w:rFonts w:ascii="Times New Roman" w:eastAsia="Arial Unicode MS" w:hAnsi="Times New Roman" w:cs="Times New Roman"/>
          <w:color w:val="050505"/>
          <w:sz w:val="24"/>
          <w:szCs w:val="24"/>
        </w:rPr>
        <w:t>(</w:t>
      </w:r>
      <w:proofErr w:type="spellStart"/>
      <w:r w:rsidRPr="00FF3BF1">
        <w:rPr>
          <w:rFonts w:ascii="Times New Roman" w:eastAsia="Arial Unicode MS" w:hAnsi="Times New Roman" w:cs="Times New Roman"/>
          <w:color w:val="050505"/>
          <w:sz w:val="24"/>
          <w:szCs w:val="24"/>
        </w:rPr>
        <w:t>ichiraku</w:t>
      </w:r>
      <w:proofErr w:type="spellEnd"/>
      <w:r w:rsidRPr="00FF3BF1">
        <w:rPr>
          <w:rFonts w:ascii="Times New Roman" w:eastAsia="Arial Unicode MS" w:hAnsi="Times New Roman" w:cs="Times New Roman"/>
          <w:color w:val="050505"/>
          <w:sz w:val="24"/>
          <w:szCs w:val="24"/>
        </w:rPr>
        <w:t xml:space="preserve"> ramen) and large ramen bowl prop is placed in front of the booth. In this instance, the use of the Japanese language signals not only authenticity in terms of cultural identity but also communicates the brand </w:t>
      </w:r>
      <w:r w:rsidRPr="00FF3BF1">
        <w:rPr>
          <w:rFonts w:ascii="Times New Roman" w:eastAsia="Arial Unicode MS" w:hAnsi="Times New Roman" w:cs="Times New Roman"/>
          <w:color w:val="050505"/>
          <w:sz w:val="24"/>
          <w:szCs w:val="24"/>
        </w:rPr>
        <w:lastRenderedPageBreak/>
        <w:t xml:space="preserve">to convention participants. Taken together, language and props that simulate items in the program form a commodity that appeals to consumers. </w:t>
      </w:r>
    </w:p>
    <w:p w14:paraId="5CCE09E8" w14:textId="77777777" w:rsidR="006D36FE" w:rsidRDefault="006D36FE">
      <w:pPr>
        <w:jc w:val="both"/>
        <w:rPr>
          <w:rFonts w:ascii="Times New Roman" w:eastAsia="Arial Unicode MS" w:hAnsi="Times New Roman" w:cs="Times New Roman"/>
          <w:color w:val="050505"/>
          <w:sz w:val="24"/>
          <w:szCs w:val="24"/>
        </w:rPr>
      </w:pPr>
    </w:p>
    <w:p w14:paraId="3DEB718E" w14:textId="11E1AB54" w:rsidR="006D36FE" w:rsidRPr="00FF3BF1" w:rsidRDefault="006D36FE" w:rsidP="002F690D">
      <w:pPr>
        <w:jc w:val="center"/>
        <w:rPr>
          <w:rFonts w:ascii="Times New Roman" w:hAnsi="Times New Roman" w:cs="Times New Roman"/>
          <w:color w:val="050505"/>
          <w:sz w:val="24"/>
          <w:szCs w:val="24"/>
        </w:rPr>
      </w:pPr>
      <w:r>
        <w:rPr>
          <w:rFonts w:ascii="Times New Roman" w:hAnsi="Times New Roman" w:cs="Times New Roman"/>
          <w:noProof/>
          <w:color w:val="050505"/>
          <w:sz w:val="24"/>
          <w:szCs w:val="24"/>
        </w:rPr>
        <w:drawing>
          <wp:inline distT="0" distB="0" distL="0" distR="0" wp14:anchorId="197661F3" wp14:editId="540AFB49">
            <wp:extent cx="5083975" cy="3816000"/>
            <wp:effectExtent l="0" t="0" r="2540" b="0"/>
            <wp:docPr id="887625296" name="Picture 1" descr="A food stand with a bowl of noodles and chopstick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7625296" name="Picture 1" descr="A food stand with a bowl of noodles and chopsticks&#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083975" cy="3816000"/>
                    </a:xfrm>
                    <a:prstGeom prst="rect">
                      <a:avLst/>
                    </a:prstGeom>
                  </pic:spPr>
                </pic:pic>
              </a:graphicData>
            </a:graphic>
          </wp:inline>
        </w:drawing>
      </w:r>
    </w:p>
    <w:p w14:paraId="0000000A" w14:textId="77777777" w:rsidR="0049324A" w:rsidRPr="00FF3BF1" w:rsidRDefault="0049324A">
      <w:pPr>
        <w:jc w:val="both"/>
        <w:rPr>
          <w:rFonts w:ascii="Times New Roman" w:hAnsi="Times New Roman" w:cs="Times New Roman"/>
          <w:color w:val="050505"/>
          <w:sz w:val="24"/>
          <w:szCs w:val="24"/>
        </w:rPr>
      </w:pPr>
    </w:p>
    <w:p w14:paraId="0000000B" w14:textId="77777777" w:rsidR="0049324A" w:rsidRDefault="00000000">
      <w:pPr>
        <w:jc w:val="both"/>
        <w:rPr>
          <w:rFonts w:ascii="Times New Roman" w:hAnsi="Times New Roman" w:cs="Times New Roman"/>
          <w:sz w:val="24"/>
          <w:szCs w:val="24"/>
        </w:rPr>
      </w:pPr>
      <w:r w:rsidRPr="00FF3BF1">
        <w:rPr>
          <w:rFonts w:ascii="Times New Roman" w:hAnsi="Times New Roman" w:cs="Times New Roman"/>
          <w:sz w:val="24"/>
          <w:szCs w:val="24"/>
        </w:rPr>
        <w:t>Another significant part of the convention is cosplay. Intended for creative expression, individuals wear customized costumes to recreate characters from popular culture. In addition, cosplayers mimic the characters they portray through actions and language.</w:t>
      </w:r>
      <w:r w:rsidRPr="00FF3BF1">
        <w:rPr>
          <w:rFonts w:ascii="Times New Roman" w:hAnsi="Times New Roman" w:cs="Times New Roman"/>
          <w:sz w:val="24"/>
          <w:szCs w:val="24"/>
          <w:u w:val="single"/>
        </w:rPr>
        <w:t xml:space="preserve"> </w:t>
      </w:r>
      <w:r w:rsidRPr="00FF3BF1">
        <w:rPr>
          <w:rFonts w:ascii="Times New Roman" w:hAnsi="Times New Roman" w:cs="Times New Roman"/>
          <w:sz w:val="24"/>
          <w:szCs w:val="24"/>
        </w:rPr>
        <w:t>Previous studies on cosplay indicate the complexity of this process as it entails cosplayers to draw on rich resources from source texts where popular culture characters are based on and materially translate them in creative ways (Hale, 2014). For instance, the recreation of the popular character Venom and T-rex by a cosplayer may not be fully accurate as shown in the comics. However, through customization (painting of available costumes, adding decorations or props), an approximate recreation is done resulting in a</w:t>
      </w:r>
      <w:r w:rsidRPr="00FF3BF1">
        <w:rPr>
          <w:rFonts w:ascii="Times New Roman" w:hAnsi="Times New Roman" w:cs="Times New Roman"/>
          <w:sz w:val="24"/>
          <w:szCs w:val="24"/>
          <w:u w:val="single"/>
        </w:rPr>
        <w:t xml:space="preserve"> </w:t>
      </w:r>
      <w:hyperlink r:id="rId10">
        <w:r w:rsidRPr="00FF3BF1">
          <w:rPr>
            <w:rFonts w:ascii="Times New Roman" w:hAnsi="Times New Roman" w:cs="Times New Roman"/>
            <w:color w:val="1155CC"/>
            <w:sz w:val="24"/>
            <w:szCs w:val="24"/>
          </w:rPr>
          <w:t>remixing of styles</w:t>
        </w:r>
      </w:hyperlink>
      <w:hyperlink r:id="rId11">
        <w:r w:rsidRPr="00FF3BF1">
          <w:rPr>
            <w:rFonts w:ascii="Times New Roman" w:hAnsi="Times New Roman" w:cs="Times New Roman"/>
            <w:color w:val="1155CC"/>
            <w:sz w:val="24"/>
            <w:szCs w:val="24"/>
            <w:u w:val="single"/>
          </w:rPr>
          <w:t xml:space="preserve"> </w:t>
        </w:r>
      </w:hyperlink>
      <w:r w:rsidRPr="00FF3BF1">
        <w:rPr>
          <w:rFonts w:ascii="Times New Roman" w:hAnsi="Times New Roman" w:cs="Times New Roman"/>
          <w:sz w:val="24"/>
          <w:szCs w:val="24"/>
        </w:rPr>
        <w:t xml:space="preserve">which can have varied effects among attendees.   </w:t>
      </w:r>
    </w:p>
    <w:p w14:paraId="0DF20341" w14:textId="77777777" w:rsidR="006D36FE" w:rsidRDefault="006D36FE">
      <w:pPr>
        <w:jc w:val="both"/>
        <w:rPr>
          <w:rFonts w:ascii="Times New Roman" w:hAnsi="Times New Roman" w:cs="Times New Roman"/>
          <w:sz w:val="24"/>
          <w:szCs w:val="24"/>
        </w:rPr>
      </w:pPr>
    </w:p>
    <w:p w14:paraId="23556ABC" w14:textId="02E27371" w:rsidR="006D36FE" w:rsidRPr="00FF3BF1" w:rsidRDefault="006D36FE" w:rsidP="002F690D">
      <w:pPr>
        <w:jc w:val="cente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447363E8" wp14:editId="012B4BCC">
            <wp:extent cx="5265000" cy="7020000"/>
            <wp:effectExtent l="0" t="0" r="0" b="0"/>
            <wp:docPr id="735166514" name="Picture 2" descr="A person in a gar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5166514" name="Picture 2" descr="A person in a garment&#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265000" cy="7020000"/>
                    </a:xfrm>
                    <a:prstGeom prst="rect">
                      <a:avLst/>
                    </a:prstGeom>
                  </pic:spPr>
                </pic:pic>
              </a:graphicData>
            </a:graphic>
          </wp:inline>
        </w:drawing>
      </w:r>
    </w:p>
    <w:p w14:paraId="0000000C" w14:textId="77777777" w:rsidR="0049324A" w:rsidRPr="00FF3BF1" w:rsidRDefault="0049324A">
      <w:pPr>
        <w:jc w:val="both"/>
        <w:rPr>
          <w:rFonts w:ascii="Times New Roman" w:hAnsi="Times New Roman" w:cs="Times New Roman"/>
          <w:sz w:val="24"/>
          <w:szCs w:val="24"/>
        </w:rPr>
      </w:pPr>
    </w:p>
    <w:p w14:paraId="0000000D" w14:textId="77777777" w:rsidR="0049324A" w:rsidRDefault="00000000">
      <w:pPr>
        <w:jc w:val="both"/>
        <w:rPr>
          <w:rFonts w:ascii="Times New Roman" w:hAnsi="Times New Roman" w:cs="Times New Roman"/>
          <w:sz w:val="24"/>
          <w:szCs w:val="24"/>
        </w:rPr>
      </w:pPr>
      <w:r w:rsidRPr="00FF3BF1">
        <w:rPr>
          <w:rFonts w:ascii="Times New Roman" w:hAnsi="Times New Roman" w:cs="Times New Roman"/>
          <w:sz w:val="24"/>
          <w:szCs w:val="24"/>
        </w:rPr>
        <w:t xml:space="preserve">Since conventions are framed as a congregation between industry representatives and fans, </w:t>
      </w:r>
      <w:hyperlink r:id="rId13">
        <w:r w:rsidRPr="00FF3BF1">
          <w:rPr>
            <w:rFonts w:ascii="Times New Roman" w:hAnsi="Times New Roman" w:cs="Times New Roman"/>
            <w:color w:val="1155CC"/>
            <w:sz w:val="24"/>
            <w:szCs w:val="24"/>
          </w:rPr>
          <w:t>affinity spaces</w:t>
        </w:r>
      </w:hyperlink>
      <w:r w:rsidRPr="00FF3BF1">
        <w:rPr>
          <w:rFonts w:ascii="Times New Roman" w:hAnsi="Times New Roman" w:cs="Times New Roman"/>
          <w:sz w:val="24"/>
          <w:szCs w:val="24"/>
        </w:rPr>
        <w:t xml:space="preserve"> are commonplace where more experienced participants help those who are unfamiliar with certain popular culture brands. Significant here is the communication of rich information about the history, </w:t>
      </w:r>
      <w:proofErr w:type="gramStart"/>
      <w:r w:rsidRPr="00FF3BF1">
        <w:rPr>
          <w:rFonts w:ascii="Times New Roman" w:hAnsi="Times New Roman" w:cs="Times New Roman"/>
          <w:sz w:val="24"/>
          <w:szCs w:val="24"/>
        </w:rPr>
        <w:t>impact</w:t>
      </w:r>
      <w:proofErr w:type="gramEnd"/>
      <w:r w:rsidRPr="00FF3BF1">
        <w:rPr>
          <w:rFonts w:ascii="Times New Roman" w:hAnsi="Times New Roman" w:cs="Times New Roman"/>
          <w:sz w:val="24"/>
          <w:szCs w:val="24"/>
        </w:rPr>
        <w:t xml:space="preserve"> and future of different properties through communities of practice. To illustrate, when I visited the </w:t>
      </w:r>
      <w:hyperlink r:id="rId14">
        <w:r w:rsidRPr="00FF3BF1">
          <w:rPr>
            <w:rFonts w:ascii="Times New Roman" w:hAnsi="Times New Roman" w:cs="Times New Roman"/>
            <w:color w:val="1155CC"/>
            <w:sz w:val="24"/>
            <w:szCs w:val="24"/>
            <w:u w:val="single"/>
          </w:rPr>
          <w:t>Ghostbusters New York City Chapter booth</w:t>
        </w:r>
      </w:hyperlink>
      <w:r w:rsidRPr="00FF3BF1">
        <w:rPr>
          <w:rFonts w:ascii="Times New Roman" w:hAnsi="Times New Roman" w:cs="Times New Roman"/>
          <w:sz w:val="24"/>
          <w:szCs w:val="24"/>
        </w:rPr>
        <w:t xml:space="preserve">, representatives were eager to </w:t>
      </w:r>
      <w:r w:rsidRPr="00FF3BF1">
        <w:rPr>
          <w:rFonts w:ascii="Times New Roman" w:hAnsi="Times New Roman" w:cs="Times New Roman"/>
          <w:sz w:val="24"/>
          <w:szCs w:val="24"/>
        </w:rPr>
        <w:lastRenderedPageBreak/>
        <w:t xml:space="preserve">narrate the origins of their group as well as the process in building and customizing their proton packs, a popular prop representing the equipment in the movie. Interestingly, the building of the equipment entails the use of specific materials but also opens opportunities for customization to make the piece unique to its owner. </w:t>
      </w:r>
    </w:p>
    <w:p w14:paraId="3D045F40" w14:textId="77777777" w:rsidR="006D36FE" w:rsidRDefault="006D36FE">
      <w:pPr>
        <w:jc w:val="both"/>
        <w:rPr>
          <w:rFonts w:ascii="Times New Roman" w:hAnsi="Times New Roman" w:cs="Times New Roman"/>
          <w:sz w:val="24"/>
          <w:szCs w:val="24"/>
        </w:rPr>
      </w:pPr>
    </w:p>
    <w:p w14:paraId="4C831186" w14:textId="33F04C05" w:rsidR="006D36FE" w:rsidRPr="00FF3BF1" w:rsidRDefault="006D36FE" w:rsidP="002F690D">
      <w:pPr>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24A1295F" wp14:editId="2938C005">
            <wp:extent cx="5328000" cy="3996000"/>
            <wp:effectExtent l="0" t="0" r="6350" b="5080"/>
            <wp:docPr id="32817911" name="Picture 3" descr="A banner on a wa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817911" name="Picture 3" descr="A banner on a wall&#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328000" cy="3996000"/>
                    </a:xfrm>
                    <a:prstGeom prst="rect">
                      <a:avLst/>
                    </a:prstGeom>
                  </pic:spPr>
                </pic:pic>
              </a:graphicData>
            </a:graphic>
          </wp:inline>
        </w:drawing>
      </w:r>
    </w:p>
    <w:p w14:paraId="0000000E" w14:textId="77777777" w:rsidR="0049324A" w:rsidRPr="00FF3BF1" w:rsidRDefault="0049324A">
      <w:pPr>
        <w:jc w:val="both"/>
        <w:rPr>
          <w:rFonts w:ascii="Times New Roman" w:hAnsi="Times New Roman" w:cs="Times New Roman"/>
          <w:sz w:val="24"/>
          <w:szCs w:val="24"/>
        </w:rPr>
      </w:pPr>
    </w:p>
    <w:p w14:paraId="0000000F" w14:textId="77777777" w:rsidR="0049324A" w:rsidRPr="00FF3BF1" w:rsidRDefault="00000000">
      <w:pPr>
        <w:jc w:val="both"/>
        <w:rPr>
          <w:rFonts w:ascii="Times New Roman" w:hAnsi="Times New Roman" w:cs="Times New Roman"/>
          <w:sz w:val="24"/>
          <w:szCs w:val="24"/>
        </w:rPr>
      </w:pPr>
      <w:r w:rsidRPr="00FF3BF1">
        <w:rPr>
          <w:rFonts w:ascii="Times New Roman" w:hAnsi="Times New Roman" w:cs="Times New Roman"/>
          <w:sz w:val="24"/>
          <w:szCs w:val="24"/>
        </w:rPr>
        <w:t xml:space="preserve">To conclude, conventions have become large events which highlight different aspects of pop culture where different modalities are used to create a sensory experience that taps into feelings of nostalgia and belongingness. For scholars, conventions are rich sites for investigating the intersections between language, </w:t>
      </w:r>
      <w:proofErr w:type="gramStart"/>
      <w:r w:rsidRPr="00FF3BF1">
        <w:rPr>
          <w:rFonts w:ascii="Times New Roman" w:hAnsi="Times New Roman" w:cs="Times New Roman"/>
          <w:sz w:val="24"/>
          <w:szCs w:val="24"/>
        </w:rPr>
        <w:t>culture</w:t>
      </w:r>
      <w:proofErr w:type="gramEnd"/>
      <w:r w:rsidRPr="00FF3BF1">
        <w:rPr>
          <w:rFonts w:ascii="Times New Roman" w:hAnsi="Times New Roman" w:cs="Times New Roman"/>
          <w:sz w:val="24"/>
          <w:szCs w:val="24"/>
        </w:rPr>
        <w:t xml:space="preserve"> and practices. Significant here is the use of props, costumes, signs to reinterpret understandings of characters, events and pop culture properties which resonate well among participants. Moreover, language becomes a powerful tool to describe the rich processes of how fandom is represented to a diverse audience. For teachers, conventions provide opportunities for engagement with learners. Specifically, this opens doors for examining novel uses of language and multimodal resources to enact authenticity and fluidity.</w:t>
      </w:r>
    </w:p>
    <w:p w14:paraId="00000010" w14:textId="77777777" w:rsidR="0049324A" w:rsidRPr="00FF3BF1" w:rsidRDefault="0049324A">
      <w:pPr>
        <w:jc w:val="both"/>
        <w:rPr>
          <w:rFonts w:ascii="Times New Roman" w:hAnsi="Times New Roman" w:cs="Times New Roman"/>
          <w:sz w:val="24"/>
          <w:szCs w:val="24"/>
        </w:rPr>
      </w:pPr>
    </w:p>
    <w:p w14:paraId="00000011" w14:textId="77777777" w:rsidR="0049324A" w:rsidRPr="00FF3BF1" w:rsidRDefault="00000000">
      <w:pPr>
        <w:jc w:val="both"/>
        <w:rPr>
          <w:rFonts w:ascii="Times New Roman" w:hAnsi="Times New Roman" w:cs="Times New Roman"/>
          <w:sz w:val="24"/>
          <w:szCs w:val="24"/>
        </w:rPr>
      </w:pPr>
      <w:r w:rsidRPr="00FF3BF1">
        <w:rPr>
          <w:rFonts w:ascii="Times New Roman" w:hAnsi="Times New Roman" w:cs="Times New Roman"/>
          <w:sz w:val="24"/>
          <w:szCs w:val="24"/>
        </w:rPr>
        <w:t>References</w:t>
      </w:r>
    </w:p>
    <w:p w14:paraId="00000012" w14:textId="77777777" w:rsidR="0049324A" w:rsidRPr="00FF3BF1" w:rsidRDefault="0049324A">
      <w:pPr>
        <w:jc w:val="both"/>
        <w:rPr>
          <w:rFonts w:ascii="Times New Roman" w:hAnsi="Times New Roman" w:cs="Times New Roman"/>
          <w:sz w:val="24"/>
          <w:szCs w:val="24"/>
        </w:rPr>
      </w:pPr>
    </w:p>
    <w:p w14:paraId="00000013" w14:textId="77777777" w:rsidR="0049324A" w:rsidRPr="00FF3BF1" w:rsidRDefault="00000000">
      <w:pPr>
        <w:jc w:val="both"/>
        <w:rPr>
          <w:rFonts w:ascii="Times New Roman" w:hAnsi="Times New Roman" w:cs="Times New Roman"/>
          <w:color w:val="05103E"/>
          <w:sz w:val="24"/>
          <w:szCs w:val="24"/>
          <w:highlight w:val="white"/>
        </w:rPr>
      </w:pPr>
      <w:proofErr w:type="spellStart"/>
      <w:r w:rsidRPr="00FF3BF1">
        <w:rPr>
          <w:rFonts w:ascii="Times New Roman" w:hAnsi="Times New Roman" w:cs="Times New Roman"/>
          <w:color w:val="05103E"/>
          <w:sz w:val="24"/>
          <w:szCs w:val="24"/>
          <w:highlight w:val="white"/>
        </w:rPr>
        <w:t>Aljanahi</w:t>
      </w:r>
      <w:proofErr w:type="spellEnd"/>
      <w:r w:rsidRPr="00FF3BF1">
        <w:rPr>
          <w:rFonts w:ascii="Times New Roman" w:hAnsi="Times New Roman" w:cs="Times New Roman"/>
          <w:color w:val="05103E"/>
          <w:sz w:val="24"/>
          <w:szCs w:val="24"/>
          <w:highlight w:val="white"/>
        </w:rPr>
        <w:t>, M. H., &amp; Alsheikh, N. (2021). “There is No Such Thing as Copying in Cosplay”:</w:t>
      </w:r>
    </w:p>
    <w:p w14:paraId="00000014" w14:textId="77777777" w:rsidR="0049324A" w:rsidRPr="00FF3BF1" w:rsidRDefault="00000000">
      <w:pPr>
        <w:ind w:firstLine="720"/>
        <w:jc w:val="both"/>
        <w:rPr>
          <w:rFonts w:ascii="Times New Roman" w:hAnsi="Times New Roman" w:cs="Times New Roman"/>
          <w:color w:val="05103E"/>
          <w:sz w:val="24"/>
          <w:szCs w:val="24"/>
          <w:highlight w:val="white"/>
        </w:rPr>
      </w:pPr>
      <w:r w:rsidRPr="00FF3BF1">
        <w:rPr>
          <w:rFonts w:ascii="Times New Roman" w:hAnsi="Times New Roman" w:cs="Times New Roman"/>
          <w:color w:val="05103E"/>
          <w:sz w:val="24"/>
          <w:szCs w:val="24"/>
          <w:highlight w:val="white"/>
        </w:rPr>
        <w:t xml:space="preserve"> Cosplay as a Remixed Literacy Practice. </w:t>
      </w:r>
      <w:r w:rsidRPr="00FF3BF1">
        <w:rPr>
          <w:rFonts w:ascii="Times New Roman" w:hAnsi="Times New Roman" w:cs="Times New Roman"/>
          <w:i/>
          <w:color w:val="05103E"/>
          <w:sz w:val="24"/>
          <w:szCs w:val="24"/>
          <w:highlight w:val="white"/>
        </w:rPr>
        <w:t>Journal of Adolescent &amp; Adult Literacy</w:t>
      </w:r>
      <w:r w:rsidRPr="00FF3BF1">
        <w:rPr>
          <w:rFonts w:ascii="Times New Roman" w:hAnsi="Times New Roman" w:cs="Times New Roman"/>
          <w:color w:val="05103E"/>
          <w:sz w:val="24"/>
          <w:szCs w:val="24"/>
          <w:highlight w:val="white"/>
        </w:rPr>
        <w:t>.</w:t>
      </w:r>
    </w:p>
    <w:p w14:paraId="00000015" w14:textId="77777777" w:rsidR="0049324A" w:rsidRPr="00FF3BF1" w:rsidRDefault="00000000">
      <w:pPr>
        <w:ind w:firstLine="720"/>
        <w:jc w:val="both"/>
        <w:rPr>
          <w:rFonts w:ascii="Times New Roman" w:hAnsi="Times New Roman" w:cs="Times New Roman"/>
          <w:sz w:val="24"/>
          <w:szCs w:val="24"/>
        </w:rPr>
      </w:pPr>
      <w:r w:rsidRPr="00FF3BF1">
        <w:rPr>
          <w:rFonts w:ascii="Times New Roman" w:hAnsi="Times New Roman" w:cs="Times New Roman"/>
          <w:color w:val="05103E"/>
          <w:sz w:val="24"/>
          <w:szCs w:val="24"/>
          <w:highlight w:val="white"/>
        </w:rPr>
        <w:lastRenderedPageBreak/>
        <w:t xml:space="preserve"> https://doi.org/10.1002/jaal.1193</w:t>
      </w:r>
    </w:p>
    <w:p w14:paraId="00000016" w14:textId="77777777" w:rsidR="0049324A" w:rsidRPr="00FF3BF1" w:rsidRDefault="0049324A">
      <w:pPr>
        <w:jc w:val="both"/>
        <w:rPr>
          <w:rFonts w:ascii="Times New Roman" w:hAnsi="Times New Roman" w:cs="Times New Roman"/>
          <w:sz w:val="24"/>
          <w:szCs w:val="24"/>
        </w:rPr>
      </w:pPr>
    </w:p>
    <w:p w14:paraId="00000017" w14:textId="77777777" w:rsidR="0049324A" w:rsidRPr="00FF3BF1" w:rsidRDefault="00000000">
      <w:pPr>
        <w:shd w:val="clear" w:color="auto" w:fill="FFFFFF"/>
        <w:jc w:val="both"/>
        <w:rPr>
          <w:rFonts w:ascii="Times New Roman" w:hAnsi="Times New Roman" w:cs="Times New Roman"/>
          <w:color w:val="05103E"/>
          <w:sz w:val="24"/>
          <w:szCs w:val="24"/>
          <w:highlight w:val="white"/>
        </w:rPr>
      </w:pPr>
      <w:r w:rsidRPr="00FF3BF1">
        <w:rPr>
          <w:rFonts w:ascii="Times New Roman" w:hAnsi="Times New Roman" w:cs="Times New Roman"/>
          <w:color w:val="05103E"/>
          <w:sz w:val="24"/>
          <w:szCs w:val="24"/>
          <w:highlight w:val="white"/>
        </w:rPr>
        <w:t xml:space="preserve">Gee, J. P. (2017). Affinity Spaces and 21st Century Learning. </w:t>
      </w:r>
      <w:r w:rsidRPr="00FF3BF1">
        <w:rPr>
          <w:rFonts w:ascii="Times New Roman" w:hAnsi="Times New Roman" w:cs="Times New Roman"/>
          <w:i/>
          <w:color w:val="05103E"/>
          <w:sz w:val="24"/>
          <w:szCs w:val="24"/>
          <w:highlight w:val="white"/>
        </w:rPr>
        <w:t>Educational Technology</w:t>
      </w:r>
      <w:r w:rsidRPr="00FF3BF1">
        <w:rPr>
          <w:rFonts w:ascii="Times New Roman" w:hAnsi="Times New Roman" w:cs="Times New Roman"/>
          <w:color w:val="05103E"/>
          <w:sz w:val="24"/>
          <w:szCs w:val="24"/>
          <w:highlight w:val="white"/>
        </w:rPr>
        <w:t xml:space="preserve">, </w:t>
      </w:r>
      <w:r w:rsidRPr="00FF3BF1">
        <w:rPr>
          <w:rFonts w:ascii="Times New Roman" w:hAnsi="Times New Roman" w:cs="Times New Roman"/>
          <w:i/>
          <w:color w:val="05103E"/>
          <w:sz w:val="24"/>
          <w:szCs w:val="24"/>
          <w:highlight w:val="white"/>
        </w:rPr>
        <w:t>57</w:t>
      </w:r>
      <w:r w:rsidRPr="00FF3BF1">
        <w:rPr>
          <w:rFonts w:ascii="Times New Roman" w:hAnsi="Times New Roman" w:cs="Times New Roman"/>
          <w:color w:val="05103E"/>
          <w:sz w:val="24"/>
          <w:szCs w:val="24"/>
          <w:highlight w:val="white"/>
        </w:rPr>
        <w:t>(2),</w:t>
      </w:r>
    </w:p>
    <w:p w14:paraId="00000018" w14:textId="77777777" w:rsidR="0049324A" w:rsidRPr="00FF3BF1" w:rsidRDefault="00000000">
      <w:pPr>
        <w:shd w:val="clear" w:color="auto" w:fill="FFFFFF"/>
        <w:ind w:firstLine="720"/>
        <w:jc w:val="both"/>
        <w:rPr>
          <w:rFonts w:ascii="Times New Roman" w:hAnsi="Times New Roman" w:cs="Times New Roman"/>
          <w:color w:val="05103E"/>
          <w:sz w:val="24"/>
          <w:szCs w:val="24"/>
          <w:highlight w:val="white"/>
        </w:rPr>
      </w:pPr>
      <w:r w:rsidRPr="00FF3BF1">
        <w:rPr>
          <w:rFonts w:ascii="Times New Roman" w:hAnsi="Times New Roman" w:cs="Times New Roman"/>
          <w:color w:val="05103E"/>
          <w:sz w:val="24"/>
          <w:szCs w:val="24"/>
          <w:highlight w:val="white"/>
        </w:rPr>
        <w:t xml:space="preserve"> 27–31. http://www.jstor.org/stable/44430520</w:t>
      </w:r>
    </w:p>
    <w:p w14:paraId="00000019" w14:textId="77777777" w:rsidR="0049324A" w:rsidRPr="00FF3BF1" w:rsidRDefault="0049324A">
      <w:pPr>
        <w:shd w:val="clear" w:color="auto" w:fill="FFFFFF"/>
        <w:jc w:val="both"/>
        <w:rPr>
          <w:rFonts w:ascii="Times New Roman" w:hAnsi="Times New Roman" w:cs="Times New Roman"/>
          <w:color w:val="05103E"/>
          <w:sz w:val="24"/>
          <w:szCs w:val="24"/>
          <w:highlight w:val="white"/>
        </w:rPr>
      </w:pPr>
    </w:p>
    <w:p w14:paraId="0000001A" w14:textId="77777777" w:rsidR="0049324A" w:rsidRPr="00FF3BF1" w:rsidRDefault="00000000">
      <w:pPr>
        <w:shd w:val="clear" w:color="auto" w:fill="FFFFFF"/>
        <w:jc w:val="both"/>
        <w:rPr>
          <w:rFonts w:ascii="Times New Roman" w:hAnsi="Times New Roman" w:cs="Times New Roman"/>
          <w:i/>
          <w:color w:val="05103E"/>
          <w:sz w:val="24"/>
          <w:szCs w:val="24"/>
          <w:highlight w:val="white"/>
        </w:rPr>
      </w:pPr>
      <w:r w:rsidRPr="00FF3BF1">
        <w:rPr>
          <w:rFonts w:ascii="Times New Roman" w:hAnsi="Times New Roman" w:cs="Times New Roman"/>
          <w:color w:val="05103E"/>
          <w:sz w:val="24"/>
          <w:szCs w:val="24"/>
          <w:highlight w:val="white"/>
        </w:rPr>
        <w:t xml:space="preserve">Gray, J., Sandvoss, C., &amp; Harrington, C. L. (2017). </w:t>
      </w:r>
      <w:r w:rsidRPr="00FF3BF1">
        <w:rPr>
          <w:rFonts w:ascii="Times New Roman" w:hAnsi="Times New Roman" w:cs="Times New Roman"/>
          <w:i/>
          <w:color w:val="05103E"/>
          <w:sz w:val="24"/>
          <w:szCs w:val="24"/>
          <w:highlight w:val="white"/>
        </w:rPr>
        <w:t>Fandom, Second Edition: Identities and</w:t>
      </w:r>
    </w:p>
    <w:p w14:paraId="0000001B" w14:textId="77777777" w:rsidR="0049324A" w:rsidRPr="00FF3BF1" w:rsidRDefault="00000000">
      <w:pPr>
        <w:shd w:val="clear" w:color="auto" w:fill="FFFFFF"/>
        <w:ind w:firstLine="720"/>
        <w:jc w:val="both"/>
        <w:rPr>
          <w:rFonts w:ascii="Times New Roman" w:hAnsi="Times New Roman" w:cs="Times New Roman"/>
          <w:color w:val="05103E"/>
          <w:sz w:val="24"/>
          <w:szCs w:val="24"/>
          <w:highlight w:val="white"/>
        </w:rPr>
      </w:pPr>
      <w:r w:rsidRPr="00FF3BF1">
        <w:rPr>
          <w:rFonts w:ascii="Times New Roman" w:hAnsi="Times New Roman" w:cs="Times New Roman"/>
          <w:i/>
          <w:color w:val="05103E"/>
          <w:sz w:val="24"/>
          <w:szCs w:val="24"/>
          <w:highlight w:val="white"/>
        </w:rPr>
        <w:t xml:space="preserve"> Communities in a mediated world</w:t>
      </w:r>
      <w:r w:rsidRPr="00FF3BF1">
        <w:rPr>
          <w:rFonts w:ascii="Times New Roman" w:hAnsi="Times New Roman" w:cs="Times New Roman"/>
          <w:color w:val="05103E"/>
          <w:sz w:val="24"/>
          <w:szCs w:val="24"/>
          <w:highlight w:val="white"/>
        </w:rPr>
        <w:t>. NYU Press.</w:t>
      </w:r>
    </w:p>
    <w:p w14:paraId="0000001C" w14:textId="77777777" w:rsidR="0049324A" w:rsidRPr="00FF3BF1" w:rsidRDefault="0049324A">
      <w:pPr>
        <w:shd w:val="clear" w:color="auto" w:fill="FFFFFF"/>
        <w:jc w:val="both"/>
        <w:rPr>
          <w:rFonts w:ascii="Times New Roman" w:hAnsi="Times New Roman" w:cs="Times New Roman"/>
          <w:color w:val="05103E"/>
          <w:sz w:val="24"/>
          <w:szCs w:val="24"/>
          <w:highlight w:val="white"/>
        </w:rPr>
      </w:pPr>
    </w:p>
    <w:p w14:paraId="0000001D" w14:textId="77777777" w:rsidR="0049324A" w:rsidRPr="00FF3BF1" w:rsidRDefault="00000000">
      <w:pPr>
        <w:shd w:val="clear" w:color="auto" w:fill="FFFFFF"/>
        <w:jc w:val="both"/>
        <w:rPr>
          <w:rFonts w:ascii="Times New Roman" w:hAnsi="Times New Roman" w:cs="Times New Roman"/>
          <w:color w:val="05103E"/>
          <w:sz w:val="24"/>
          <w:szCs w:val="24"/>
          <w:highlight w:val="white"/>
        </w:rPr>
      </w:pPr>
      <w:r w:rsidRPr="00FF3BF1">
        <w:rPr>
          <w:rFonts w:ascii="Times New Roman" w:hAnsi="Times New Roman" w:cs="Times New Roman"/>
          <w:color w:val="05103E"/>
          <w:sz w:val="24"/>
          <w:szCs w:val="24"/>
          <w:highlight w:val="white"/>
        </w:rPr>
        <w:t xml:space="preserve">Hale, M. (2014). Cosplay: Intertextuality, Public Texts, and the Body Fantastic. </w:t>
      </w:r>
      <w:r w:rsidRPr="00FF3BF1">
        <w:rPr>
          <w:rFonts w:ascii="Times New Roman" w:hAnsi="Times New Roman" w:cs="Times New Roman"/>
          <w:i/>
          <w:color w:val="05103E"/>
          <w:sz w:val="24"/>
          <w:szCs w:val="24"/>
          <w:highlight w:val="white"/>
        </w:rPr>
        <w:t>Western Folklore</w:t>
      </w:r>
      <w:r w:rsidRPr="00FF3BF1">
        <w:rPr>
          <w:rFonts w:ascii="Times New Roman" w:hAnsi="Times New Roman" w:cs="Times New Roman"/>
          <w:color w:val="05103E"/>
          <w:sz w:val="24"/>
          <w:szCs w:val="24"/>
          <w:highlight w:val="white"/>
        </w:rPr>
        <w:t>,</w:t>
      </w:r>
    </w:p>
    <w:p w14:paraId="0000001E" w14:textId="77777777" w:rsidR="0049324A" w:rsidRPr="00FF3BF1" w:rsidRDefault="00000000">
      <w:pPr>
        <w:shd w:val="clear" w:color="auto" w:fill="FFFFFF"/>
        <w:ind w:firstLine="720"/>
        <w:jc w:val="both"/>
        <w:rPr>
          <w:rFonts w:ascii="Times New Roman" w:hAnsi="Times New Roman" w:cs="Times New Roman"/>
          <w:color w:val="05103E"/>
          <w:sz w:val="24"/>
          <w:szCs w:val="24"/>
          <w:highlight w:val="white"/>
        </w:rPr>
      </w:pPr>
      <w:r w:rsidRPr="00FF3BF1">
        <w:rPr>
          <w:rFonts w:ascii="Times New Roman" w:hAnsi="Times New Roman" w:cs="Times New Roman"/>
          <w:color w:val="05103E"/>
          <w:sz w:val="24"/>
          <w:szCs w:val="24"/>
          <w:highlight w:val="white"/>
        </w:rPr>
        <w:t xml:space="preserve"> </w:t>
      </w:r>
      <w:r w:rsidRPr="00FF3BF1">
        <w:rPr>
          <w:rFonts w:ascii="Times New Roman" w:hAnsi="Times New Roman" w:cs="Times New Roman"/>
          <w:i/>
          <w:color w:val="05103E"/>
          <w:sz w:val="24"/>
          <w:szCs w:val="24"/>
          <w:highlight w:val="white"/>
        </w:rPr>
        <w:t>73</w:t>
      </w:r>
      <w:r w:rsidRPr="00FF3BF1">
        <w:rPr>
          <w:rFonts w:ascii="Times New Roman" w:hAnsi="Times New Roman" w:cs="Times New Roman"/>
          <w:color w:val="05103E"/>
          <w:sz w:val="24"/>
          <w:szCs w:val="24"/>
          <w:highlight w:val="white"/>
        </w:rPr>
        <w:t>(1), 5–37. http://www.jstor.org/stable/24550744</w:t>
      </w:r>
    </w:p>
    <w:p w14:paraId="0000001F" w14:textId="77777777" w:rsidR="0049324A" w:rsidRPr="00FF3BF1" w:rsidRDefault="0049324A">
      <w:pPr>
        <w:shd w:val="clear" w:color="auto" w:fill="FFFFFF"/>
        <w:jc w:val="both"/>
        <w:rPr>
          <w:rFonts w:ascii="Times New Roman" w:hAnsi="Times New Roman" w:cs="Times New Roman"/>
          <w:color w:val="1C1D1E"/>
          <w:sz w:val="24"/>
          <w:szCs w:val="24"/>
        </w:rPr>
      </w:pPr>
    </w:p>
    <w:p w14:paraId="00000020" w14:textId="77777777" w:rsidR="0049324A" w:rsidRPr="00FF3BF1" w:rsidRDefault="00000000">
      <w:pPr>
        <w:shd w:val="clear" w:color="auto" w:fill="FFFFFF"/>
        <w:jc w:val="both"/>
        <w:rPr>
          <w:rFonts w:ascii="Times New Roman" w:hAnsi="Times New Roman" w:cs="Times New Roman"/>
          <w:color w:val="1C1D1E"/>
          <w:sz w:val="24"/>
          <w:szCs w:val="24"/>
        </w:rPr>
      </w:pPr>
      <w:r w:rsidRPr="00FF3BF1">
        <w:rPr>
          <w:rFonts w:ascii="Times New Roman" w:hAnsi="Times New Roman" w:cs="Times New Roman"/>
          <w:color w:val="1C1D1E"/>
          <w:sz w:val="24"/>
          <w:szCs w:val="24"/>
        </w:rPr>
        <w:t>Jenkins, H. (2018). Fandom, Negotiation, and Participatory Culture. In A Companion to Media</w:t>
      </w:r>
    </w:p>
    <w:p w14:paraId="00000021" w14:textId="77777777" w:rsidR="0049324A" w:rsidRPr="00FF3BF1" w:rsidRDefault="00000000">
      <w:pPr>
        <w:shd w:val="clear" w:color="auto" w:fill="FFFFFF"/>
        <w:ind w:firstLine="720"/>
        <w:jc w:val="both"/>
        <w:rPr>
          <w:rFonts w:ascii="Times New Roman" w:hAnsi="Times New Roman" w:cs="Times New Roman"/>
          <w:color w:val="005274"/>
          <w:sz w:val="24"/>
          <w:szCs w:val="24"/>
        </w:rPr>
      </w:pPr>
      <w:r w:rsidRPr="00FF3BF1">
        <w:rPr>
          <w:rFonts w:ascii="Times New Roman" w:hAnsi="Times New Roman" w:cs="Times New Roman"/>
          <w:color w:val="1C1D1E"/>
          <w:sz w:val="24"/>
          <w:szCs w:val="24"/>
        </w:rPr>
        <w:t xml:space="preserve"> Fandom and Fan Studies, P. Booth (Ed.). </w:t>
      </w:r>
      <w:hyperlink r:id="rId16">
        <w:r w:rsidRPr="00FF3BF1">
          <w:rPr>
            <w:rFonts w:ascii="Times New Roman" w:hAnsi="Times New Roman" w:cs="Times New Roman"/>
            <w:color w:val="005274"/>
            <w:sz w:val="24"/>
            <w:szCs w:val="24"/>
          </w:rPr>
          <w:t>https://doi.org/10.1002/9781119237211.ch1</w:t>
        </w:r>
      </w:hyperlink>
      <w:r w:rsidRPr="00FF3BF1">
        <w:rPr>
          <w:rFonts w:ascii="Times New Roman" w:hAnsi="Times New Roman" w:cs="Times New Roman"/>
          <w:color w:val="005274"/>
          <w:sz w:val="24"/>
          <w:szCs w:val="24"/>
        </w:rPr>
        <w:t>.</w:t>
      </w:r>
    </w:p>
    <w:p w14:paraId="00000022" w14:textId="77777777" w:rsidR="0049324A" w:rsidRPr="00FF3BF1" w:rsidRDefault="0049324A">
      <w:pPr>
        <w:shd w:val="clear" w:color="auto" w:fill="FFFFFF"/>
        <w:jc w:val="both"/>
        <w:rPr>
          <w:rFonts w:ascii="Times New Roman" w:hAnsi="Times New Roman" w:cs="Times New Roman"/>
          <w:color w:val="005274"/>
          <w:sz w:val="24"/>
          <w:szCs w:val="24"/>
        </w:rPr>
      </w:pPr>
    </w:p>
    <w:p w14:paraId="00000024" w14:textId="7AA321E3" w:rsidR="0049324A" w:rsidRPr="00FF3BF1" w:rsidRDefault="00000000" w:rsidP="00FF3BF1">
      <w:pPr>
        <w:shd w:val="clear" w:color="auto" w:fill="FFFFFF"/>
        <w:jc w:val="both"/>
        <w:rPr>
          <w:rFonts w:ascii="Times New Roman" w:hAnsi="Times New Roman" w:cs="Times New Roman"/>
          <w:i/>
          <w:color w:val="05103E"/>
          <w:sz w:val="24"/>
          <w:szCs w:val="24"/>
          <w:highlight w:val="white"/>
        </w:rPr>
      </w:pPr>
      <w:r w:rsidRPr="00FF3BF1">
        <w:rPr>
          <w:rFonts w:ascii="Times New Roman" w:hAnsi="Times New Roman" w:cs="Times New Roman"/>
          <w:color w:val="05103E"/>
          <w:sz w:val="24"/>
          <w:szCs w:val="24"/>
          <w:highlight w:val="white"/>
        </w:rPr>
        <w:t>McKevitt, A. C. (2010). “You Are Not Alone!”: Anime and the Globalizing of America.</w:t>
      </w:r>
      <w:r w:rsidR="00FF3BF1">
        <w:rPr>
          <w:rFonts w:ascii="Times New Roman" w:hAnsi="Times New Roman" w:cs="Times New Roman"/>
          <w:color w:val="05103E"/>
          <w:sz w:val="24"/>
          <w:szCs w:val="24"/>
          <w:highlight w:val="white"/>
        </w:rPr>
        <w:tab/>
      </w:r>
      <w:r w:rsidR="00FF3BF1">
        <w:rPr>
          <w:rFonts w:ascii="Times New Roman" w:hAnsi="Times New Roman" w:cs="Times New Roman"/>
          <w:color w:val="05103E"/>
          <w:sz w:val="24"/>
          <w:szCs w:val="24"/>
          <w:highlight w:val="white"/>
        </w:rPr>
        <w:tab/>
      </w:r>
      <w:r w:rsidR="00FF3BF1">
        <w:rPr>
          <w:rFonts w:ascii="Times New Roman" w:hAnsi="Times New Roman" w:cs="Times New Roman"/>
          <w:color w:val="05103E"/>
          <w:sz w:val="24"/>
          <w:szCs w:val="24"/>
          <w:highlight w:val="white"/>
        </w:rPr>
        <w:tab/>
      </w:r>
      <w:r w:rsidRPr="00FF3BF1">
        <w:rPr>
          <w:rFonts w:ascii="Times New Roman" w:hAnsi="Times New Roman" w:cs="Times New Roman"/>
          <w:color w:val="05103E"/>
          <w:sz w:val="24"/>
          <w:szCs w:val="24"/>
          <w:highlight w:val="white"/>
        </w:rPr>
        <w:t xml:space="preserve"> </w:t>
      </w:r>
      <w:r w:rsidRPr="00FF3BF1">
        <w:rPr>
          <w:rFonts w:ascii="Times New Roman" w:hAnsi="Times New Roman" w:cs="Times New Roman"/>
          <w:i/>
          <w:color w:val="05103E"/>
          <w:sz w:val="24"/>
          <w:szCs w:val="24"/>
          <w:highlight w:val="white"/>
        </w:rPr>
        <w:t>Diplomatic</w:t>
      </w:r>
      <w:r w:rsidR="00FF3BF1">
        <w:rPr>
          <w:rFonts w:ascii="Times New Roman" w:hAnsi="Times New Roman" w:cs="Times New Roman"/>
          <w:i/>
          <w:color w:val="05103E"/>
          <w:sz w:val="24"/>
          <w:szCs w:val="24"/>
          <w:highlight w:val="white"/>
        </w:rPr>
        <w:t xml:space="preserve"> </w:t>
      </w:r>
      <w:r w:rsidRPr="00FF3BF1">
        <w:rPr>
          <w:rFonts w:ascii="Times New Roman" w:hAnsi="Times New Roman" w:cs="Times New Roman"/>
          <w:i/>
          <w:color w:val="05103E"/>
          <w:sz w:val="24"/>
          <w:szCs w:val="24"/>
          <w:highlight w:val="white"/>
        </w:rPr>
        <w:t>History</w:t>
      </w:r>
      <w:r w:rsidRPr="00FF3BF1">
        <w:rPr>
          <w:rFonts w:ascii="Times New Roman" w:hAnsi="Times New Roman" w:cs="Times New Roman"/>
          <w:color w:val="05103E"/>
          <w:sz w:val="24"/>
          <w:szCs w:val="24"/>
          <w:highlight w:val="white"/>
        </w:rPr>
        <w:t xml:space="preserve">, </w:t>
      </w:r>
      <w:r w:rsidRPr="00FF3BF1">
        <w:rPr>
          <w:rFonts w:ascii="Times New Roman" w:hAnsi="Times New Roman" w:cs="Times New Roman"/>
          <w:i/>
          <w:color w:val="05103E"/>
          <w:sz w:val="24"/>
          <w:szCs w:val="24"/>
          <w:highlight w:val="white"/>
        </w:rPr>
        <w:t>34</w:t>
      </w:r>
      <w:r w:rsidRPr="00FF3BF1">
        <w:rPr>
          <w:rFonts w:ascii="Times New Roman" w:hAnsi="Times New Roman" w:cs="Times New Roman"/>
          <w:color w:val="05103E"/>
          <w:sz w:val="24"/>
          <w:szCs w:val="24"/>
          <w:highlight w:val="white"/>
        </w:rPr>
        <w:t>(5), 893–921. https://doi.org/10.1111/j.1467-7709.2010.00899.x</w:t>
      </w:r>
    </w:p>
    <w:p w14:paraId="00000025" w14:textId="77777777" w:rsidR="0049324A" w:rsidRPr="00FF3BF1" w:rsidRDefault="0049324A">
      <w:pPr>
        <w:shd w:val="clear" w:color="auto" w:fill="FFFFFF"/>
        <w:jc w:val="both"/>
        <w:rPr>
          <w:rFonts w:ascii="Times New Roman" w:hAnsi="Times New Roman" w:cs="Times New Roman"/>
          <w:color w:val="005274"/>
          <w:sz w:val="24"/>
          <w:szCs w:val="24"/>
        </w:rPr>
      </w:pPr>
    </w:p>
    <w:p w14:paraId="00000026" w14:textId="60E2D386" w:rsidR="0049324A" w:rsidRPr="00FF3BF1" w:rsidRDefault="00000000">
      <w:pPr>
        <w:shd w:val="clear" w:color="auto" w:fill="FFFFFF"/>
        <w:jc w:val="both"/>
        <w:rPr>
          <w:rFonts w:ascii="Times New Roman" w:hAnsi="Times New Roman" w:cs="Times New Roman"/>
          <w:color w:val="05103E"/>
          <w:sz w:val="24"/>
          <w:szCs w:val="24"/>
          <w:highlight w:val="white"/>
        </w:rPr>
      </w:pPr>
      <w:proofErr w:type="spellStart"/>
      <w:r w:rsidRPr="00FF3BF1">
        <w:rPr>
          <w:rFonts w:ascii="Times New Roman" w:hAnsi="Times New Roman" w:cs="Times New Roman"/>
          <w:color w:val="05103E"/>
          <w:sz w:val="24"/>
          <w:szCs w:val="24"/>
          <w:highlight w:val="white"/>
        </w:rPr>
        <w:t>Salkowitz</w:t>
      </w:r>
      <w:proofErr w:type="spellEnd"/>
      <w:r w:rsidRPr="00FF3BF1">
        <w:rPr>
          <w:rFonts w:ascii="Times New Roman" w:hAnsi="Times New Roman" w:cs="Times New Roman"/>
          <w:color w:val="05103E"/>
          <w:sz w:val="24"/>
          <w:szCs w:val="24"/>
          <w:highlight w:val="white"/>
        </w:rPr>
        <w:t xml:space="preserve">, R. (2022, October 6). NYCC 2022 Means Business </w:t>
      </w:r>
      <w:proofErr w:type="gramStart"/>
      <w:r w:rsidRPr="00FF3BF1">
        <w:rPr>
          <w:rFonts w:ascii="Times New Roman" w:hAnsi="Times New Roman" w:cs="Times New Roman"/>
          <w:color w:val="05103E"/>
          <w:sz w:val="24"/>
          <w:szCs w:val="24"/>
          <w:highlight w:val="white"/>
        </w:rPr>
        <w:t>With</w:t>
      </w:r>
      <w:proofErr w:type="gramEnd"/>
      <w:r w:rsidRPr="00FF3BF1">
        <w:rPr>
          <w:rFonts w:ascii="Times New Roman" w:hAnsi="Times New Roman" w:cs="Times New Roman"/>
          <w:color w:val="05103E"/>
          <w:sz w:val="24"/>
          <w:szCs w:val="24"/>
          <w:highlight w:val="white"/>
        </w:rPr>
        <w:t xml:space="preserve"> Packed Schedule And</w:t>
      </w:r>
      <w:r w:rsidR="00FF3BF1">
        <w:rPr>
          <w:rFonts w:ascii="Times New Roman" w:hAnsi="Times New Roman" w:cs="Times New Roman"/>
          <w:color w:val="05103E"/>
          <w:sz w:val="24"/>
          <w:szCs w:val="24"/>
          <w:highlight w:val="white"/>
        </w:rPr>
        <w:tab/>
      </w:r>
    </w:p>
    <w:p w14:paraId="346E1508" w14:textId="77777777" w:rsidR="00F747CF" w:rsidRDefault="00000000" w:rsidP="00FF3BF1">
      <w:pPr>
        <w:shd w:val="clear" w:color="auto" w:fill="FFFFFF"/>
        <w:ind w:firstLine="720"/>
        <w:jc w:val="both"/>
        <w:rPr>
          <w:rFonts w:ascii="Times New Roman" w:hAnsi="Times New Roman" w:cs="Times New Roman"/>
          <w:color w:val="05103E"/>
          <w:sz w:val="24"/>
          <w:szCs w:val="24"/>
        </w:rPr>
      </w:pPr>
      <w:r w:rsidRPr="00FF3BF1">
        <w:rPr>
          <w:rFonts w:ascii="Times New Roman" w:hAnsi="Times New Roman" w:cs="Times New Roman"/>
          <w:color w:val="05103E"/>
          <w:sz w:val="24"/>
          <w:szCs w:val="24"/>
          <w:highlight w:val="white"/>
        </w:rPr>
        <w:t xml:space="preserve"> Show Floor. </w:t>
      </w:r>
      <w:r w:rsidRPr="00FF3BF1">
        <w:rPr>
          <w:rFonts w:ascii="Times New Roman" w:hAnsi="Times New Roman" w:cs="Times New Roman"/>
          <w:i/>
          <w:color w:val="05103E"/>
          <w:sz w:val="24"/>
          <w:szCs w:val="24"/>
          <w:highlight w:val="white"/>
        </w:rPr>
        <w:t>Forbes</w:t>
      </w:r>
      <w:r w:rsidRPr="00FF3BF1">
        <w:rPr>
          <w:rFonts w:ascii="Times New Roman" w:hAnsi="Times New Roman" w:cs="Times New Roman"/>
          <w:color w:val="05103E"/>
          <w:sz w:val="24"/>
          <w:szCs w:val="24"/>
          <w:highlight w:val="white"/>
        </w:rPr>
        <w:t>.</w:t>
      </w:r>
    </w:p>
    <w:p w14:paraId="00000027" w14:textId="256BCFF2" w:rsidR="0049324A" w:rsidRDefault="00000000" w:rsidP="00FF3BF1">
      <w:pPr>
        <w:shd w:val="clear" w:color="auto" w:fill="FFFFFF"/>
        <w:ind w:firstLine="720"/>
        <w:jc w:val="both"/>
        <w:rPr>
          <w:rFonts w:ascii="Times New Roman" w:hAnsi="Times New Roman" w:cs="Times New Roman"/>
          <w:color w:val="05103E"/>
          <w:sz w:val="24"/>
          <w:szCs w:val="24"/>
          <w:highlight w:val="white"/>
        </w:rPr>
      </w:pPr>
      <w:hyperlink r:id="rId17" w:history="1">
        <w:r w:rsidR="00F747CF" w:rsidRPr="003A4F7E">
          <w:rPr>
            <w:rStyle w:val="Hyperlink"/>
            <w:rFonts w:ascii="Times New Roman" w:hAnsi="Times New Roman" w:cs="Times New Roman"/>
            <w:sz w:val="24"/>
            <w:szCs w:val="24"/>
            <w:highlight w:val="white"/>
          </w:rPr>
          <w:t>https://www.forbes.com/sites/robsalkowitz/2022/10/06/nycc-2022</w:t>
        </w:r>
        <w:r w:rsidR="00F747CF" w:rsidRPr="003A4F7E">
          <w:rPr>
            <w:rStyle w:val="Hyperlink"/>
            <w:rFonts w:ascii="Times New Roman" w:hAnsi="Times New Roman" w:cs="Times New Roman"/>
            <w:sz w:val="24"/>
            <w:szCs w:val="24"/>
            <w:highlight w:val="white"/>
          </w:rPr>
          <w:tab/>
          <w:t>-means-business-with-packed-schedule-and-show-floor/?sh=1c10fff848ed</w:t>
        </w:r>
      </w:hyperlink>
      <w:r w:rsidR="00F747CF" w:rsidRPr="00FF3BF1">
        <w:rPr>
          <w:rFonts w:ascii="Times New Roman" w:hAnsi="Times New Roman" w:cs="Times New Roman"/>
          <w:color w:val="05103E"/>
          <w:sz w:val="24"/>
          <w:szCs w:val="24"/>
          <w:highlight w:val="white"/>
        </w:rPr>
        <w:t>.</w:t>
      </w:r>
    </w:p>
    <w:p w14:paraId="11BC9881" w14:textId="77777777" w:rsidR="00F747CF" w:rsidRDefault="00F747CF" w:rsidP="00FF3BF1">
      <w:pPr>
        <w:shd w:val="clear" w:color="auto" w:fill="FFFFFF"/>
        <w:ind w:firstLine="720"/>
        <w:jc w:val="both"/>
        <w:rPr>
          <w:rFonts w:ascii="Times New Roman" w:hAnsi="Times New Roman" w:cs="Times New Roman"/>
          <w:color w:val="05103E"/>
          <w:sz w:val="24"/>
          <w:szCs w:val="24"/>
          <w:highlight w:val="white"/>
        </w:rPr>
      </w:pPr>
    </w:p>
    <w:p w14:paraId="169C75A3" w14:textId="77777777" w:rsidR="00F747CF" w:rsidRPr="00F747CF" w:rsidRDefault="00F747CF" w:rsidP="00F747CF">
      <w:pPr>
        <w:spacing w:line="240" w:lineRule="auto"/>
        <w:rPr>
          <w:rFonts w:ascii="Times New Roman" w:eastAsia="Times New Roman" w:hAnsi="Times New Roman" w:cs="Times New Roman"/>
          <w:b/>
          <w:sz w:val="24"/>
          <w:szCs w:val="24"/>
          <w:lang w:val="en-US" w:eastAsia="pl-PL"/>
        </w:rPr>
      </w:pPr>
      <w:r w:rsidRPr="00F747CF">
        <w:rPr>
          <w:rFonts w:ascii="Times New Roman" w:eastAsia="Times New Roman" w:hAnsi="Times New Roman" w:cs="Times New Roman"/>
          <w:b/>
          <w:sz w:val="24"/>
          <w:szCs w:val="24"/>
          <w:lang w:val="en-US" w:eastAsia="pl-PL"/>
        </w:rPr>
        <w:t xml:space="preserve">Please check the </w:t>
      </w:r>
      <w:r w:rsidRPr="00F747CF">
        <w:rPr>
          <w:rFonts w:ascii="Times New Roman" w:eastAsia="Times New Roman" w:hAnsi="Times New Roman" w:cs="Times New Roman"/>
          <w:b/>
          <w:sz w:val="24"/>
          <w:szCs w:val="24"/>
          <w:u w:val="single"/>
          <w:lang w:val="en-US" w:eastAsia="pl-PL"/>
        </w:rPr>
        <w:t>Pilgrims f2f courses</w:t>
      </w:r>
      <w:r w:rsidRPr="00F747CF">
        <w:rPr>
          <w:rFonts w:ascii="Times New Roman" w:eastAsia="Times New Roman" w:hAnsi="Times New Roman" w:cs="Times New Roman"/>
          <w:b/>
          <w:sz w:val="24"/>
          <w:szCs w:val="24"/>
          <w:lang w:val="en-US" w:eastAsia="pl-PL"/>
        </w:rPr>
        <w:t xml:space="preserve"> at Pilgrims website.</w:t>
      </w:r>
    </w:p>
    <w:p w14:paraId="0B59B1E1" w14:textId="77777777" w:rsidR="00F747CF" w:rsidRPr="00F747CF" w:rsidRDefault="00F747CF" w:rsidP="00F747CF">
      <w:pPr>
        <w:spacing w:line="240" w:lineRule="auto"/>
        <w:rPr>
          <w:rFonts w:ascii="Times New Roman" w:eastAsia="Times New Roman" w:hAnsi="Times New Roman" w:cs="Times New Roman"/>
          <w:b/>
          <w:sz w:val="24"/>
          <w:szCs w:val="24"/>
          <w:lang w:val="en-US" w:eastAsia="pl-PL"/>
        </w:rPr>
      </w:pPr>
    </w:p>
    <w:p w14:paraId="00000029" w14:textId="5D372C2C" w:rsidR="0049324A" w:rsidRPr="00FF3BF1" w:rsidRDefault="00F747CF" w:rsidP="002F690D">
      <w:pPr>
        <w:spacing w:line="240" w:lineRule="auto"/>
        <w:rPr>
          <w:rFonts w:ascii="Times New Roman" w:hAnsi="Times New Roman" w:cs="Times New Roman"/>
          <w:color w:val="05103E"/>
          <w:highlight w:val="white"/>
        </w:rPr>
      </w:pPr>
      <w:r w:rsidRPr="00F747CF">
        <w:rPr>
          <w:rFonts w:ascii="Times New Roman" w:eastAsia="Times New Roman" w:hAnsi="Times New Roman" w:cs="Times New Roman"/>
          <w:b/>
          <w:sz w:val="24"/>
          <w:szCs w:val="24"/>
          <w:lang w:val="en-US" w:eastAsia="pl-PL"/>
        </w:rPr>
        <w:t xml:space="preserve">Please check the </w:t>
      </w:r>
      <w:r w:rsidRPr="00F747CF">
        <w:rPr>
          <w:rFonts w:ascii="Times New Roman" w:eastAsia="Times New Roman" w:hAnsi="Times New Roman" w:cs="Times New Roman"/>
          <w:b/>
          <w:sz w:val="24"/>
          <w:szCs w:val="24"/>
          <w:u w:val="single"/>
          <w:lang w:val="en-US" w:eastAsia="pl-PL"/>
        </w:rPr>
        <w:t>Pilgrims online courses</w:t>
      </w:r>
      <w:r w:rsidRPr="00F747CF">
        <w:rPr>
          <w:rFonts w:ascii="Times New Roman" w:eastAsia="Times New Roman" w:hAnsi="Times New Roman" w:cs="Times New Roman"/>
          <w:b/>
          <w:sz w:val="24"/>
          <w:szCs w:val="24"/>
          <w:lang w:val="en-US" w:eastAsia="pl-PL"/>
        </w:rPr>
        <w:t xml:space="preserve"> at Pilgrims website.</w:t>
      </w:r>
    </w:p>
    <w:p w14:paraId="0000002D" w14:textId="77777777" w:rsidR="0049324A" w:rsidRPr="00FF3BF1" w:rsidRDefault="0049324A">
      <w:pPr>
        <w:jc w:val="both"/>
        <w:rPr>
          <w:rFonts w:ascii="Times New Roman" w:hAnsi="Times New Roman" w:cs="Times New Roman"/>
        </w:rPr>
      </w:pPr>
    </w:p>
    <w:p w14:paraId="0000002E" w14:textId="77777777" w:rsidR="0049324A" w:rsidRPr="00FF3BF1" w:rsidRDefault="0049324A">
      <w:pPr>
        <w:jc w:val="both"/>
        <w:rPr>
          <w:rFonts w:ascii="Times New Roman" w:hAnsi="Times New Roman" w:cs="Times New Roman"/>
        </w:rPr>
      </w:pPr>
    </w:p>
    <w:p w14:paraId="0000002F" w14:textId="77777777" w:rsidR="0049324A" w:rsidRPr="00FF3BF1" w:rsidRDefault="0049324A">
      <w:pPr>
        <w:jc w:val="both"/>
        <w:rPr>
          <w:rFonts w:ascii="Times New Roman" w:hAnsi="Times New Roman" w:cs="Times New Roman"/>
        </w:rPr>
      </w:pPr>
    </w:p>
    <w:p w14:paraId="00000030" w14:textId="77777777" w:rsidR="0049324A" w:rsidRPr="00FF3BF1" w:rsidRDefault="0049324A">
      <w:pPr>
        <w:jc w:val="both"/>
        <w:rPr>
          <w:rFonts w:ascii="Times New Roman" w:hAnsi="Times New Roman" w:cs="Times New Roman"/>
        </w:rPr>
      </w:pPr>
    </w:p>
    <w:p w14:paraId="00000031" w14:textId="77777777" w:rsidR="0049324A" w:rsidRPr="00FF3BF1" w:rsidRDefault="0049324A">
      <w:pPr>
        <w:jc w:val="both"/>
        <w:rPr>
          <w:rFonts w:ascii="Times New Roman" w:hAnsi="Times New Roman" w:cs="Times New Roman"/>
        </w:rPr>
      </w:pPr>
    </w:p>
    <w:p w14:paraId="00000032" w14:textId="77777777" w:rsidR="0049324A" w:rsidRPr="00FF3BF1" w:rsidRDefault="0049324A">
      <w:pPr>
        <w:rPr>
          <w:rFonts w:ascii="Times New Roman" w:hAnsi="Times New Roman" w:cs="Times New Roman"/>
        </w:rPr>
      </w:pPr>
    </w:p>
    <w:p w14:paraId="00000033" w14:textId="77777777" w:rsidR="0049324A" w:rsidRPr="00FF3BF1" w:rsidRDefault="0049324A">
      <w:pPr>
        <w:rPr>
          <w:rFonts w:ascii="Times New Roman" w:hAnsi="Times New Roman" w:cs="Times New Roman"/>
        </w:rPr>
      </w:pPr>
    </w:p>
    <w:p w14:paraId="00000034" w14:textId="77777777" w:rsidR="0049324A" w:rsidRPr="00FF3BF1" w:rsidRDefault="00000000">
      <w:pPr>
        <w:rPr>
          <w:rFonts w:ascii="Times New Roman" w:hAnsi="Times New Roman" w:cs="Times New Roman"/>
        </w:rPr>
      </w:pPr>
      <w:r w:rsidRPr="00FF3BF1">
        <w:rPr>
          <w:rFonts w:ascii="Times New Roman" w:hAnsi="Times New Roman" w:cs="Times New Roman"/>
        </w:rPr>
        <w:t xml:space="preserve">  </w:t>
      </w:r>
    </w:p>
    <w:sectPr w:rsidR="0049324A" w:rsidRPr="00FF3BF1">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Unicode MS">
    <w:altName w:val="Arial"/>
    <w:panose1 w:val="020B0604020202020204"/>
    <w:charset w:val="80"/>
    <w:family w:val="swiss"/>
    <w:pitch w:val="variable"/>
    <w:sig w:usb0="F7FFAFFF" w:usb1="E9DFFFFF" w:usb2="0000003F" w:usb3="00000000" w:csb0="003F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324A"/>
    <w:rsid w:val="00013B62"/>
    <w:rsid w:val="00216DC4"/>
    <w:rsid w:val="00221B49"/>
    <w:rsid w:val="002F690D"/>
    <w:rsid w:val="0049324A"/>
    <w:rsid w:val="006D36FE"/>
    <w:rsid w:val="008A5E8F"/>
    <w:rsid w:val="00F747CF"/>
    <w:rsid w:val="00FF3BF1"/>
  </w:rsids>
  <m:mathPr>
    <m:mathFont m:val="Cambria Math"/>
    <m:brkBin m:val="before"/>
    <m:brkBinSub m:val="--"/>
    <m:smallFrac m:val="0"/>
    <m:dispDef/>
    <m:lMargin m:val="0"/>
    <m:rMargin m:val="0"/>
    <m:defJc m:val="centerGroup"/>
    <m:wrapIndent m:val="1440"/>
    <m:intLim m:val="subSup"/>
    <m:naryLim m:val="undOvr"/>
  </m:mathPr>
  <w:themeFontLang w:val="en-P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96E02F"/>
  <w15:docId w15:val="{6C4F1C3B-519F-6642-8DF6-336E231512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character" w:styleId="Hyperlink">
    <w:name w:val="Hyperlink"/>
    <w:basedOn w:val="DefaultParagraphFont"/>
    <w:uiPriority w:val="99"/>
    <w:unhideWhenUsed/>
    <w:rsid w:val="00FF3BF1"/>
    <w:rPr>
      <w:color w:val="0000FF" w:themeColor="hyperlink"/>
      <w:u w:val="single"/>
    </w:rPr>
  </w:style>
  <w:style w:type="character" w:styleId="UnresolvedMention">
    <w:name w:val="Unresolved Mention"/>
    <w:basedOn w:val="DefaultParagraphFont"/>
    <w:uiPriority w:val="99"/>
    <w:semiHidden/>
    <w:unhideWhenUsed/>
    <w:rsid w:val="00FF3B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onlinelibrary.wiley.com/doi/full/10.1111/j.1467-7709.2010.00899.x?casa_token=j387Uk_MoJcAAAAA:1yzTYHMUuStSBS8nBEsQj4B5R8L_aVwnoHw0EdBmPVYqWmnfAddHFuMusCYAP64FaqiDIulxuiXyZ7Ku" TargetMode="External"/><Relationship Id="rId13" Type="http://schemas.openxmlformats.org/officeDocument/2006/relationships/hyperlink" Target="https://www.jstor.org/stable/44430520?casa_token=w2TzEgulj4wAAAAA%3Aje-0MPCVs2GQmuSibybhg50rBv7YO1ZyVpXqMN6NjPNb27Um4VIUYwVrnkiPlmY-y3s7NQoIRquLQajOGFn-oAmETjwutlRJNeYTuFTWm9Lvw5utakaC"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books.google.com.ph/books?hl=en&amp;lr=&amp;id=qDsuDwAAQBAJ&amp;oi=fnd&amp;pg=PA1&amp;ots=Sw7hVDpMOP&amp;sig=4VTPn-0TNyWz64dKR4-SJZnkwsM&amp;redir_esc=y" TargetMode="External"/><Relationship Id="rId12" Type="http://schemas.openxmlformats.org/officeDocument/2006/relationships/image" Target="media/image2.jpg"/><Relationship Id="rId17" Type="http://schemas.openxmlformats.org/officeDocument/2006/relationships/hyperlink" Target="https://www.forbes.com/sites/robsalkowitz/2022/10/06/nycc-2022%09-means-business-with-packed-schedule-and-show-floor/?sh=1c10fff848ed" TargetMode="External"/><Relationship Id="rId2" Type="http://schemas.openxmlformats.org/officeDocument/2006/relationships/settings" Target="settings.xml"/><Relationship Id="rId16" Type="http://schemas.openxmlformats.org/officeDocument/2006/relationships/hyperlink" Target="https://doi.org/10.1002/9781119237211.ch1" TargetMode="External"/><Relationship Id="rId1" Type="http://schemas.openxmlformats.org/officeDocument/2006/relationships/styles" Target="styles.xml"/><Relationship Id="rId6" Type="http://schemas.openxmlformats.org/officeDocument/2006/relationships/hyperlink" Target="https://www.forbes.com/sites/robsalkowitz/2022/10/06/nycc-2022-means-business-with-packed-schedule-and-show-floor/?sh=1c10fff848ed" TargetMode="External"/><Relationship Id="rId11" Type="http://schemas.openxmlformats.org/officeDocument/2006/relationships/hyperlink" Target="https://ila.onlinelibrary.wiley.com/doi/abs/10.1002/jaal.1193" TargetMode="External"/><Relationship Id="rId5" Type="http://schemas.openxmlformats.org/officeDocument/2006/relationships/hyperlink" Target="https://onlinelibrary.wiley.com/doi/abs/10.1002/9781119237211.ch1" TargetMode="External"/><Relationship Id="rId15" Type="http://schemas.openxmlformats.org/officeDocument/2006/relationships/image" Target="media/image3.jpg"/><Relationship Id="rId10" Type="http://schemas.openxmlformats.org/officeDocument/2006/relationships/hyperlink" Target="https://ila.onlinelibrary.wiley.com/doi/abs/10.1002/jaal.1193" TargetMode="External"/><Relationship Id="rId19" Type="http://schemas.openxmlformats.org/officeDocument/2006/relationships/theme" Target="theme/theme1.xml"/><Relationship Id="rId4" Type="http://schemas.openxmlformats.org/officeDocument/2006/relationships/hyperlink" Target="mailto:paolo.valdez@dlsu.edu.ph" TargetMode="External"/><Relationship Id="rId9" Type="http://schemas.openxmlformats.org/officeDocument/2006/relationships/image" Target="media/image1.jpg"/><Relationship Id="rId14" Type="http://schemas.openxmlformats.org/officeDocument/2006/relationships/hyperlink" Target="https://www.facebook.com/NYCGhostbusters/?fbclid=IwAR2nS6wvn-tQDY21ypaP58slPBDu06uoNhN0-W0VGCIjtSjyg38vS7Tx9-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1221</Words>
  <Characters>6966</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Hanna Kryszewska</cp:lastModifiedBy>
  <cp:revision>2</cp:revision>
  <dcterms:created xsi:type="dcterms:W3CDTF">2024-01-15T18:03:00Z</dcterms:created>
  <dcterms:modified xsi:type="dcterms:W3CDTF">2024-01-15T18:03:00Z</dcterms:modified>
</cp:coreProperties>
</file>