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C9B88" w14:textId="77777777" w:rsidR="00855B23" w:rsidRDefault="00000000">
      <w:pPr>
        <w:rPr>
          <w:rFonts w:ascii="Times New Roman" w:eastAsia="Times New Roman" w:hAnsi="Times New Roman" w:cs="Times New Roman"/>
          <w:b/>
          <w:sz w:val="28"/>
          <w:szCs w:val="28"/>
        </w:rPr>
      </w:pPr>
      <w:bookmarkStart w:id="0" w:name="_heading=h.gjdgxs" w:colFirst="0" w:colLast="0"/>
      <w:bookmarkEnd w:id="0"/>
      <w:r>
        <w:rPr>
          <w:rFonts w:ascii="Times New Roman" w:eastAsia="Times New Roman" w:hAnsi="Times New Roman" w:cs="Times New Roman"/>
          <w:b/>
          <w:sz w:val="28"/>
          <w:szCs w:val="28"/>
        </w:rPr>
        <w:t>Like to or Like ing?</w:t>
      </w:r>
    </w:p>
    <w:p w14:paraId="2D677EEF" w14:textId="77777777" w:rsidR="00855B23" w:rsidRDefault="00855B23">
      <w:pPr>
        <w:rPr>
          <w:rFonts w:ascii="Times New Roman" w:eastAsia="Times New Roman" w:hAnsi="Times New Roman" w:cs="Times New Roman"/>
          <w:b/>
          <w:sz w:val="24"/>
          <w:szCs w:val="24"/>
        </w:rPr>
      </w:pPr>
    </w:p>
    <w:p w14:paraId="767D5815" w14:textId="77777777" w:rsidR="00855B23"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Steve Krajewski, UK</w:t>
      </w:r>
    </w:p>
    <w:p w14:paraId="41A925D9" w14:textId="77777777" w:rsidR="00855B2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Steve Krajewski is an experienced freelance English teacher from the heart of England. He is an English language teacher, language learning enthusiast, serial blogger and founder of the Komified app. He’s taught in Poland, Serbia, Bosnia and the UK. Since 2016, he’s mostly focused on teaching online. Regarding second language acquisition, Steve’s interests range from vocabulary learning strategies to the phenomenon known as the “intermediate plateau” and how students can overcome it. Email: krajsd123@gmail.com</w:t>
      </w:r>
    </w:p>
    <w:p w14:paraId="111DD85E" w14:textId="77777777" w:rsidR="00855B23"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w:t>
      </w:r>
    </w:p>
    <w:p w14:paraId="41023C28" w14:textId="77777777" w:rsidR="00855B23" w:rsidRDefault="00000000">
      <w:pPr>
        <w:rPr>
          <w:rFonts w:ascii="Times New Roman" w:eastAsia="Times New Roman" w:hAnsi="Times New Roman" w:cs="Times New Roman"/>
          <w:color w:val="3F3F3F"/>
          <w:sz w:val="24"/>
          <w:szCs w:val="24"/>
        </w:rPr>
      </w:pPr>
      <w:r>
        <w:rPr>
          <w:rFonts w:ascii="Times New Roman" w:eastAsia="Times New Roman" w:hAnsi="Times New Roman" w:cs="Times New Roman"/>
          <w:sz w:val="24"/>
          <w:szCs w:val="24"/>
        </w:rPr>
        <w:t xml:space="preserve">The text was originally published on </w:t>
      </w:r>
      <w:hyperlink r:id="rId5">
        <w:r>
          <w:rPr>
            <w:rFonts w:ascii="Times New Roman" w:eastAsia="Times New Roman" w:hAnsi="Times New Roman" w:cs="Times New Roman"/>
            <w:color w:val="1155CC"/>
            <w:sz w:val="24"/>
            <w:szCs w:val="24"/>
            <w:u w:val="single"/>
          </w:rPr>
          <w:t>English Coach Online</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color w:val="3F3F3F"/>
          <w:sz w:val="24"/>
          <w:szCs w:val="24"/>
        </w:rPr>
        <w:t>Last updated on November 10, 2023.</w:t>
      </w:r>
    </w:p>
    <w:p w14:paraId="0DCA923E" w14:textId="77777777" w:rsidR="00855B23" w:rsidRDefault="00855B23">
      <w:pPr>
        <w:rPr>
          <w:rFonts w:ascii="Times New Roman" w:eastAsia="Times New Roman" w:hAnsi="Times New Roman" w:cs="Times New Roman"/>
          <w:b/>
          <w:sz w:val="24"/>
          <w:szCs w:val="24"/>
        </w:rPr>
      </w:pPr>
    </w:p>
    <w:p w14:paraId="2F59017B" w14:textId="77777777" w:rsidR="00855B23" w:rsidRDefault="00000000">
      <w:pPr>
        <w:shd w:val="clear" w:color="auto" w:fill="FFFFFF"/>
        <w:spacing w:line="240" w:lineRule="auto"/>
        <w:rPr>
          <w:rFonts w:ascii="Times New Roman" w:eastAsia="Times New Roman" w:hAnsi="Times New Roman" w:cs="Times New Roman"/>
          <w:color w:val="3F3F3F"/>
          <w:sz w:val="24"/>
          <w:szCs w:val="24"/>
        </w:rPr>
      </w:pPr>
      <w:r>
        <w:rPr>
          <w:rFonts w:ascii="Times New Roman" w:eastAsia="Times New Roman" w:hAnsi="Times New Roman" w:cs="Times New Roman"/>
          <w:noProof/>
          <w:color w:val="3F3F3F"/>
          <w:sz w:val="24"/>
          <w:szCs w:val="24"/>
        </w:rPr>
        <w:drawing>
          <wp:inline distT="0" distB="0" distL="0" distR="0" wp14:anchorId="70234EC6" wp14:editId="15920163">
            <wp:extent cx="5760720" cy="3849370"/>
            <wp:effectExtent l="0" t="0" r="0" b="0"/>
            <wp:docPr id="1828559064" name="image3.jpg" descr="Like to or Like ing?"/>
            <wp:cNvGraphicFramePr/>
            <a:graphic xmlns:a="http://schemas.openxmlformats.org/drawingml/2006/main">
              <a:graphicData uri="http://schemas.openxmlformats.org/drawingml/2006/picture">
                <pic:pic xmlns:pic="http://schemas.openxmlformats.org/drawingml/2006/picture">
                  <pic:nvPicPr>
                    <pic:cNvPr id="0" name="image3.jpg" descr="Like to or Like ing?"/>
                    <pic:cNvPicPr preferRelativeResize="0"/>
                  </pic:nvPicPr>
                  <pic:blipFill>
                    <a:blip r:embed="rId6"/>
                    <a:srcRect/>
                    <a:stretch>
                      <a:fillRect/>
                    </a:stretch>
                  </pic:blipFill>
                  <pic:spPr>
                    <a:xfrm>
                      <a:off x="0" y="0"/>
                      <a:ext cx="5760720" cy="3849370"/>
                    </a:xfrm>
                    <a:prstGeom prst="rect">
                      <a:avLst/>
                    </a:prstGeom>
                    <a:ln/>
                  </pic:spPr>
                </pic:pic>
              </a:graphicData>
            </a:graphic>
          </wp:inline>
        </w:drawing>
      </w:r>
    </w:p>
    <w:p w14:paraId="049AA4ED"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3BB5D863" w14:textId="77777777" w:rsidR="00855B23" w:rsidRDefault="00000000">
      <w:pPr>
        <w:shd w:val="clear" w:color="auto" w:fill="FFFFFF"/>
        <w:spacing w:after="0"/>
        <w:rPr>
          <w:rFonts w:ascii="Times New Roman" w:eastAsia="Times New Roman" w:hAnsi="Times New Roman" w:cs="Times New Roman"/>
          <w:color w:val="404040"/>
          <w:sz w:val="24"/>
          <w:szCs w:val="24"/>
        </w:rPr>
      </w:pPr>
      <w:r>
        <w:rPr>
          <w:rFonts w:ascii="Times New Roman" w:eastAsia="Times New Roman" w:hAnsi="Times New Roman" w:cs="Times New Roman"/>
          <w:b/>
          <w:color w:val="000000"/>
          <w:sz w:val="24"/>
          <w:szCs w:val="24"/>
        </w:rPr>
        <w:t>Like to or Like -ing? Background</w:t>
      </w:r>
      <w:r>
        <w:rPr>
          <w:rFonts w:ascii="Times New Roman" w:eastAsia="Times New Roman" w:hAnsi="Times New Roman" w:cs="Times New Roman"/>
          <w:color w:val="404040"/>
          <w:sz w:val="24"/>
          <w:szCs w:val="24"/>
        </w:rPr>
        <w:t> </w:t>
      </w:r>
    </w:p>
    <w:p w14:paraId="4A3B21F6"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Before I go into the finer nuances of the like to or like ing debate, it’s worth noting that deciding on whether to use a to-infinitive or gerund after like goes a little deeper than whether one is a Brit and American.</w:t>
      </w:r>
    </w:p>
    <w:p w14:paraId="5992A598"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Traditionally, the British tend to use a gerund after verbs which describe feelings, such as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w:t>
      </w:r>
      <w:r>
        <w:rPr>
          <w:rFonts w:ascii="Times New Roman" w:eastAsia="Times New Roman" w:hAnsi="Times New Roman" w:cs="Times New Roman"/>
          <w:i/>
          <w:color w:val="3F3F3F"/>
          <w:sz w:val="24"/>
          <w:szCs w:val="24"/>
        </w:rPr>
        <w:t>love</w:t>
      </w:r>
      <w:r>
        <w:rPr>
          <w:rFonts w:ascii="Times New Roman" w:eastAsia="Times New Roman" w:hAnsi="Times New Roman" w:cs="Times New Roman"/>
          <w:color w:val="3F3F3F"/>
          <w:sz w:val="24"/>
          <w:szCs w:val="24"/>
        </w:rPr>
        <w:t>, </w:t>
      </w:r>
      <w:r>
        <w:rPr>
          <w:rFonts w:ascii="Times New Roman" w:eastAsia="Times New Roman" w:hAnsi="Times New Roman" w:cs="Times New Roman"/>
          <w:i/>
          <w:color w:val="3F3F3F"/>
          <w:sz w:val="24"/>
          <w:szCs w:val="24"/>
        </w:rPr>
        <w:t>enjoy</w:t>
      </w:r>
      <w:r>
        <w:rPr>
          <w:rFonts w:ascii="Times New Roman" w:eastAsia="Times New Roman" w:hAnsi="Times New Roman" w:cs="Times New Roman"/>
          <w:color w:val="3F3F3F"/>
          <w:sz w:val="24"/>
          <w:szCs w:val="24"/>
        </w:rPr>
        <w:t> and </w:t>
      </w:r>
      <w:r>
        <w:rPr>
          <w:rFonts w:ascii="Times New Roman" w:eastAsia="Times New Roman" w:hAnsi="Times New Roman" w:cs="Times New Roman"/>
          <w:i/>
          <w:color w:val="3F3F3F"/>
          <w:sz w:val="24"/>
          <w:szCs w:val="24"/>
        </w:rPr>
        <w:t>hate</w:t>
      </w:r>
      <w:r>
        <w:rPr>
          <w:rFonts w:ascii="Times New Roman" w:eastAsia="Times New Roman" w:hAnsi="Times New Roman" w:cs="Times New Roman"/>
          <w:color w:val="3F3F3F"/>
          <w:sz w:val="24"/>
          <w:szCs w:val="24"/>
        </w:rPr>
        <w:t>. Hence, you will hear most Brits saying </w:t>
      </w:r>
      <w:r>
        <w:rPr>
          <w:rFonts w:ascii="Times New Roman" w:eastAsia="Times New Roman" w:hAnsi="Times New Roman" w:cs="Times New Roman"/>
          <w:i/>
          <w:color w:val="3F3F3F"/>
          <w:sz w:val="24"/>
          <w:szCs w:val="24"/>
        </w:rPr>
        <w:t>I like partying</w:t>
      </w:r>
      <w:r>
        <w:rPr>
          <w:rFonts w:ascii="Times New Roman" w:eastAsia="Times New Roman" w:hAnsi="Times New Roman" w:cs="Times New Roman"/>
          <w:color w:val="3F3F3F"/>
          <w:sz w:val="24"/>
          <w:szCs w:val="24"/>
        </w:rPr>
        <w:t xml:space="preserve">. </w:t>
      </w:r>
      <w:r>
        <w:rPr>
          <w:rFonts w:ascii="Times New Roman" w:eastAsia="Times New Roman" w:hAnsi="Times New Roman" w:cs="Times New Roman"/>
          <w:color w:val="3F3F3F"/>
          <w:sz w:val="24"/>
          <w:szCs w:val="24"/>
        </w:rPr>
        <w:lastRenderedPageBreak/>
        <w:t>Conversely, you’re more likely to hear to-infinitive forms in other English-speaking countries, such as the USA. Cue Hank from Illinois: </w:t>
      </w:r>
      <w:r>
        <w:rPr>
          <w:rFonts w:ascii="Times New Roman" w:eastAsia="Times New Roman" w:hAnsi="Times New Roman" w:cs="Times New Roman"/>
          <w:i/>
          <w:color w:val="3F3F3F"/>
          <w:sz w:val="24"/>
          <w:szCs w:val="24"/>
        </w:rPr>
        <w:t>I love to party</w:t>
      </w:r>
      <w:r>
        <w:rPr>
          <w:rFonts w:ascii="Times New Roman" w:eastAsia="Times New Roman" w:hAnsi="Times New Roman" w:cs="Times New Roman"/>
          <w:color w:val="3F3F3F"/>
          <w:sz w:val="24"/>
          <w:szCs w:val="24"/>
        </w:rPr>
        <w:t>.</w:t>
      </w:r>
    </w:p>
    <w:p w14:paraId="69E7A024"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75F782CE"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Still, I believe there are no hard and fast rules concerning who in a particular region of a particular country might use a gerund or to-infinitive after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w:t>
      </w:r>
    </w:p>
    <w:p w14:paraId="33621119" w14:textId="77777777" w:rsidR="00855B23" w:rsidRDefault="00855B23">
      <w:pPr>
        <w:shd w:val="clear" w:color="auto" w:fill="FFFFFF"/>
        <w:spacing w:after="300"/>
        <w:rPr>
          <w:rFonts w:ascii="Times New Roman" w:eastAsia="Times New Roman" w:hAnsi="Times New Roman" w:cs="Times New Roman"/>
          <w:color w:val="3F3F3F"/>
          <w:sz w:val="24"/>
          <w:szCs w:val="24"/>
        </w:rPr>
      </w:pPr>
    </w:p>
    <w:p w14:paraId="5436B416"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My concern in this post is not with these shady geographical considerations but the difference in the meaning between the two forms.</w:t>
      </w:r>
    </w:p>
    <w:p w14:paraId="51A79F2F"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Let’s compare some situations in which gerunds and to-infinitives are commonly used after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beginning with the gerundial form.</w:t>
      </w:r>
    </w:p>
    <w:p w14:paraId="2692BD32" w14:textId="77777777" w:rsidR="00855B23" w:rsidRDefault="00855B23">
      <w:pPr>
        <w:shd w:val="clear" w:color="auto" w:fill="FFFFFF"/>
        <w:spacing w:after="300"/>
        <w:rPr>
          <w:rFonts w:ascii="Times New Roman" w:eastAsia="Times New Roman" w:hAnsi="Times New Roman" w:cs="Times New Roman"/>
          <w:color w:val="3F3F3F"/>
          <w:sz w:val="24"/>
          <w:szCs w:val="24"/>
        </w:rPr>
      </w:pPr>
    </w:p>
    <w:p w14:paraId="6670E8F3" w14:textId="77777777" w:rsidR="00855B23" w:rsidRDefault="00000000">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Key associations between like and the -ing complement</w:t>
      </w:r>
    </w:p>
    <w:p w14:paraId="14A59E8D"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30C04CC2"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Having read a few major studies of to-infinitive and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clauses, notably Egan (2008) and Duffley (2004), I’m in a strong position to illuminate which meanings and notions are most strongly associated with the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complement.</w:t>
      </w:r>
    </w:p>
    <w:p w14:paraId="5C4D7788"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22EF7A12" w14:textId="77777777" w:rsidR="00855B23" w:rsidRDefault="00000000">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General meaning</w:t>
      </w:r>
    </w:p>
    <w:p w14:paraId="582AB9F6"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7A2CFFC2"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Most online dictionaries and online blog posts tend to highlight that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is followed by a gerund when the meaning is general. Therefore, saying </w:t>
      </w:r>
      <w:r>
        <w:rPr>
          <w:rFonts w:ascii="Times New Roman" w:eastAsia="Times New Roman" w:hAnsi="Times New Roman" w:cs="Times New Roman"/>
          <w:i/>
          <w:color w:val="3F3F3F"/>
          <w:sz w:val="24"/>
          <w:szCs w:val="24"/>
        </w:rPr>
        <w:t>I like dancing</w:t>
      </w:r>
      <w:r>
        <w:rPr>
          <w:rFonts w:ascii="Times New Roman" w:eastAsia="Times New Roman" w:hAnsi="Times New Roman" w:cs="Times New Roman"/>
          <w:color w:val="3F3F3F"/>
          <w:sz w:val="24"/>
          <w:szCs w:val="24"/>
        </w:rPr>
        <w:t xml:space="preserve"> does not give </w:t>
      </w:r>
      <w:r>
        <w:rPr>
          <w:rFonts w:ascii="Times New Roman" w:eastAsia="Times New Roman" w:hAnsi="Times New Roman" w:cs="Times New Roman"/>
          <w:b/>
          <w:color w:val="980000"/>
          <w:sz w:val="24"/>
          <w:szCs w:val="24"/>
        </w:rPr>
        <w:t>away</w:t>
      </w:r>
      <w:r>
        <w:rPr>
          <w:rFonts w:ascii="Times New Roman" w:eastAsia="Times New Roman" w:hAnsi="Times New Roman" w:cs="Times New Roman"/>
          <w:color w:val="3F3F3F"/>
          <w:sz w:val="24"/>
          <w:szCs w:val="24"/>
        </w:rPr>
        <w:t xml:space="preserve"> any specific details regarding the specific types of dance one is into nor when or where one likes to dance. The focus is merely on the experience and action of dancing. Frederick T. Wood (1956, p.13) discussed the various distinctions of usage between gerundial and to-infinitive forms, noting that:</w:t>
      </w:r>
    </w:p>
    <w:p w14:paraId="2B5CBD2C" w14:textId="77777777" w:rsidR="00855B23" w:rsidRDefault="00000000">
      <w:pPr>
        <w:shd w:val="clear" w:color="auto" w:fill="FFFFFF"/>
        <w:spacing w:line="240" w:lineRule="auto"/>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The gerund denotes something more general, the infinitive something more specific</w:t>
      </w:r>
      <w:r>
        <w:rPr>
          <w:rFonts w:ascii="Times New Roman" w:eastAsia="Times New Roman" w:hAnsi="Times New Roman" w:cs="Times New Roman"/>
          <w:color w:val="3F3F3F"/>
          <w:sz w:val="24"/>
          <w:szCs w:val="24"/>
        </w:rPr>
        <w:t>.</w:t>
      </w:r>
    </w:p>
    <w:p w14:paraId="1FD21907" w14:textId="77777777" w:rsidR="00855B23" w:rsidRDefault="00000000">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notion of ‘enjoyment’</w:t>
      </w:r>
    </w:p>
    <w:p w14:paraId="5A16E56D"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3B6C762B"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In relation to why the verb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is followed by an -ing complement, the notion of ‘enjoyment’ often crops up in the literature. This enjoyment may be actual or conditional, as Duffley (2004, pp.363-364) highlights with the following two examples:</w:t>
      </w:r>
    </w:p>
    <w:p w14:paraId="4AFE14DB"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He </w:t>
      </w:r>
      <w:r>
        <w:rPr>
          <w:rFonts w:ascii="Times New Roman" w:eastAsia="Times New Roman" w:hAnsi="Times New Roman" w:cs="Times New Roman"/>
          <w:b/>
          <w:i/>
          <w:color w:val="000000"/>
          <w:sz w:val="24"/>
          <w:szCs w:val="24"/>
        </w:rPr>
        <w:t>likes going </w:t>
      </w:r>
      <w:r>
        <w:rPr>
          <w:rFonts w:ascii="Times New Roman" w:eastAsia="Times New Roman" w:hAnsi="Times New Roman" w:cs="Times New Roman"/>
          <w:i/>
          <w:color w:val="3F3F3F"/>
          <w:sz w:val="24"/>
          <w:szCs w:val="24"/>
        </w:rPr>
        <w:t>home by car </w:t>
      </w:r>
      <w:r>
        <w:rPr>
          <w:rFonts w:ascii="Times New Roman" w:eastAsia="Times New Roman" w:hAnsi="Times New Roman" w:cs="Times New Roman"/>
          <w:color w:val="3F3F3F"/>
          <w:sz w:val="24"/>
          <w:szCs w:val="24"/>
        </w:rPr>
        <w:t>(actual)</w:t>
      </w:r>
    </w:p>
    <w:p w14:paraId="1072E91B"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I think I’d </w:t>
      </w:r>
      <w:r>
        <w:rPr>
          <w:rFonts w:ascii="Times New Roman" w:eastAsia="Times New Roman" w:hAnsi="Times New Roman" w:cs="Times New Roman"/>
          <w:b/>
          <w:i/>
          <w:color w:val="000000"/>
          <w:sz w:val="24"/>
          <w:szCs w:val="24"/>
        </w:rPr>
        <w:t>like interviewing</w:t>
      </w:r>
      <w:r>
        <w:rPr>
          <w:rFonts w:ascii="Times New Roman" w:eastAsia="Times New Roman" w:hAnsi="Times New Roman" w:cs="Times New Roman"/>
          <w:i/>
          <w:color w:val="3F3F3F"/>
          <w:sz w:val="24"/>
          <w:szCs w:val="24"/>
        </w:rPr>
        <w:t> a man of such renown</w:t>
      </w:r>
      <w:r>
        <w:rPr>
          <w:rFonts w:ascii="Times New Roman" w:eastAsia="Times New Roman" w:hAnsi="Times New Roman" w:cs="Times New Roman"/>
          <w:color w:val="3F3F3F"/>
          <w:sz w:val="24"/>
          <w:szCs w:val="24"/>
        </w:rPr>
        <w:t> (conditional)</w:t>
      </w:r>
    </w:p>
    <w:p w14:paraId="23657898"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06D01326" w14:textId="77777777" w:rsidR="00855B23" w:rsidRDefault="00000000">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simultaneous nature of the pleasure</w:t>
      </w:r>
    </w:p>
    <w:p w14:paraId="777B478F"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4F751FFA"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It’s necessary to pay heed to the “simultaneous nature of the pleasure afforded by participation in the activities in the complement clause” (Egan, 2008, p.65). The following examples (ibid., p.65) support Egan’s view:</w:t>
      </w:r>
    </w:p>
    <w:p w14:paraId="5B588A5E"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Like you, I </w:t>
      </w:r>
      <w:r>
        <w:rPr>
          <w:rFonts w:ascii="Times New Roman" w:eastAsia="Times New Roman" w:hAnsi="Times New Roman" w:cs="Times New Roman"/>
          <w:b/>
          <w:i/>
          <w:color w:val="000000"/>
          <w:sz w:val="24"/>
          <w:szCs w:val="24"/>
        </w:rPr>
        <w:t>enjoy running</w:t>
      </w:r>
      <w:r>
        <w:rPr>
          <w:rFonts w:ascii="Times New Roman" w:eastAsia="Times New Roman" w:hAnsi="Times New Roman" w:cs="Times New Roman"/>
          <w:i/>
          <w:color w:val="3F3F3F"/>
          <w:sz w:val="24"/>
          <w:szCs w:val="24"/>
        </w:rPr>
        <w:t> my own business</w:t>
      </w:r>
      <w:r>
        <w:rPr>
          <w:rFonts w:ascii="Times New Roman" w:eastAsia="Times New Roman" w:hAnsi="Times New Roman" w:cs="Times New Roman"/>
          <w:color w:val="3F3F3F"/>
          <w:sz w:val="24"/>
          <w:szCs w:val="24"/>
        </w:rPr>
        <w:t>.</w:t>
      </w:r>
    </w:p>
    <w:p w14:paraId="6EC11C1A"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I wish I had some bread - I </w:t>
      </w:r>
      <w:r>
        <w:rPr>
          <w:rFonts w:ascii="Times New Roman" w:eastAsia="Times New Roman" w:hAnsi="Times New Roman" w:cs="Times New Roman"/>
          <w:b/>
          <w:i/>
          <w:color w:val="000000"/>
          <w:sz w:val="24"/>
          <w:szCs w:val="24"/>
        </w:rPr>
        <w:t>like feeding</w:t>
      </w:r>
      <w:r>
        <w:rPr>
          <w:rFonts w:ascii="Times New Roman" w:eastAsia="Times New Roman" w:hAnsi="Times New Roman" w:cs="Times New Roman"/>
          <w:i/>
          <w:color w:val="3F3F3F"/>
          <w:sz w:val="24"/>
          <w:szCs w:val="24"/>
        </w:rPr>
        <w:t> the ducks</w:t>
      </w:r>
      <w:r>
        <w:rPr>
          <w:rFonts w:ascii="Times New Roman" w:eastAsia="Times New Roman" w:hAnsi="Times New Roman" w:cs="Times New Roman"/>
          <w:color w:val="3F3F3F"/>
          <w:sz w:val="24"/>
          <w:szCs w:val="24"/>
        </w:rPr>
        <w:t>.</w:t>
      </w:r>
    </w:p>
    <w:p w14:paraId="015FF721"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Yes but you can still revolt against something you </w:t>
      </w:r>
      <w:r>
        <w:rPr>
          <w:rFonts w:ascii="Times New Roman" w:eastAsia="Times New Roman" w:hAnsi="Times New Roman" w:cs="Times New Roman"/>
          <w:b/>
          <w:i/>
          <w:color w:val="000000"/>
          <w:sz w:val="24"/>
          <w:szCs w:val="24"/>
        </w:rPr>
        <w:t>like doing</w:t>
      </w:r>
      <w:r>
        <w:rPr>
          <w:rFonts w:ascii="Times New Roman" w:eastAsia="Times New Roman" w:hAnsi="Times New Roman" w:cs="Times New Roman"/>
          <w:color w:val="3F3F3F"/>
          <w:sz w:val="24"/>
          <w:szCs w:val="24"/>
        </w:rPr>
        <w:t>. </w:t>
      </w:r>
    </w:p>
    <w:p w14:paraId="59984CD5"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lastRenderedPageBreak/>
        <w:t>Wierzbicka (1988, p.60) states that: “If we enjoy doing something we enjoy it at the very time when we are doing it”. In the example sentences above, the situation which prompts the pleasure felt coexists with the feeling of that pleasure. Hence, simultaneity is key. The use of the gerund simply overlooks pleasures of recollection or anticipation/expectation.</w:t>
      </w:r>
    </w:p>
    <w:p w14:paraId="42C868C9"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In summary, we may use the </w:t>
      </w:r>
      <w:r>
        <w:rPr>
          <w:rFonts w:ascii="Times New Roman" w:eastAsia="Times New Roman" w:hAnsi="Times New Roman" w:cs="Times New Roman"/>
          <w:b/>
          <w:color w:val="000000"/>
          <w:sz w:val="24"/>
          <w:szCs w:val="24"/>
        </w:rPr>
        <w:t>-ing</w:t>
      </w:r>
      <w:r>
        <w:rPr>
          <w:rFonts w:ascii="Times New Roman" w:eastAsia="Times New Roman" w:hAnsi="Times New Roman" w:cs="Times New Roman"/>
          <w:color w:val="3F3F3F"/>
          <w:sz w:val="24"/>
          <w:szCs w:val="24"/>
        </w:rPr>
        <w:t> form after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to emphasise the experience or action as well as to suggest enjoyment or pleasure. The experiencer’s feelings about an activity as it unfolds seem to matter most. A final implication is that these situations and activities are ongoing and recurring ones.</w:t>
      </w:r>
    </w:p>
    <w:p w14:paraId="1D68D16C"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5936CD03" w14:textId="77777777" w:rsidR="00855B23" w:rsidRDefault="00000000">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Key associations between like and the to-infinitive complement</w:t>
      </w:r>
    </w:p>
    <w:p w14:paraId="2663CF72"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5E1A1CB5"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Choosing between like to or like -ing becomes much trickier when you consider that the to-infinitive may exhibit many more meanings than the -ing complement. Let’s check out some of the key meanings of the to-infinitive after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w:t>
      </w:r>
    </w:p>
    <w:p w14:paraId="2ACC32DB"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76C7D2FF" w14:textId="77777777" w:rsidR="00855B23" w:rsidRDefault="00000000">
      <w:pPr>
        <w:shd w:val="clear" w:color="auto" w:fill="FFFFFF"/>
        <w:spacing w:after="0"/>
        <w:rPr>
          <w:rFonts w:ascii="Times New Roman" w:eastAsia="Times New Roman" w:hAnsi="Times New Roman" w:cs="Times New Roman"/>
          <w:i/>
          <w:color w:val="404040"/>
          <w:sz w:val="24"/>
          <w:szCs w:val="24"/>
        </w:rPr>
      </w:pPr>
      <w:r>
        <w:rPr>
          <w:rFonts w:ascii="Times New Roman" w:eastAsia="Times New Roman" w:hAnsi="Times New Roman" w:cs="Times New Roman"/>
          <w:b/>
          <w:i/>
          <w:color w:val="000000"/>
          <w:sz w:val="24"/>
          <w:szCs w:val="24"/>
        </w:rPr>
        <w:t>1. Preferences</w:t>
      </w:r>
      <w:r>
        <w:rPr>
          <w:rFonts w:ascii="Times New Roman" w:eastAsia="Times New Roman" w:hAnsi="Times New Roman" w:cs="Times New Roman"/>
          <w:i/>
          <w:color w:val="404040"/>
          <w:sz w:val="24"/>
          <w:szCs w:val="24"/>
        </w:rPr>
        <w:t> </w:t>
      </w:r>
    </w:p>
    <w:p w14:paraId="6AF67FDD" w14:textId="77777777" w:rsidR="00855B23" w:rsidRDefault="00855B23">
      <w:pPr>
        <w:rPr>
          <w:color w:val="404040"/>
        </w:rPr>
      </w:pPr>
    </w:p>
    <w:p w14:paraId="0D942B9D" w14:textId="77777777" w:rsidR="00855B23" w:rsidRDefault="00000000">
      <w:pPr>
        <w:shd w:val="clear" w:color="auto" w:fill="FFFFFF"/>
        <w:spacing w:after="300" w:line="240" w:lineRule="auto"/>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The example sentence below (in Egan, 2008, p.28) shows how one acquires a particular preference as one gains experience with an activity:</w:t>
      </w:r>
    </w:p>
    <w:p w14:paraId="0859CFEC" w14:textId="77777777" w:rsidR="00855B23" w:rsidRDefault="00000000">
      <w:pPr>
        <w:shd w:val="clear" w:color="auto" w:fill="FFFFFF"/>
        <w:spacing w:after="300" w:line="240" w:lineRule="auto"/>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As Mary admitted she </w:t>
      </w:r>
      <w:r>
        <w:rPr>
          <w:rFonts w:ascii="Times New Roman" w:eastAsia="Times New Roman" w:hAnsi="Times New Roman" w:cs="Times New Roman"/>
          <w:b/>
          <w:i/>
          <w:color w:val="000000"/>
          <w:sz w:val="24"/>
          <w:szCs w:val="24"/>
        </w:rPr>
        <w:t>liked to see</w:t>
      </w:r>
      <w:r>
        <w:rPr>
          <w:rFonts w:ascii="Times New Roman" w:eastAsia="Times New Roman" w:hAnsi="Times New Roman" w:cs="Times New Roman"/>
          <w:i/>
          <w:color w:val="3F3F3F"/>
          <w:sz w:val="24"/>
          <w:szCs w:val="24"/>
        </w:rPr>
        <w:t> the videos first alone - she also may have found the situation rather threatening</w:t>
      </w:r>
      <w:r>
        <w:rPr>
          <w:rFonts w:ascii="Times New Roman" w:eastAsia="Times New Roman" w:hAnsi="Times New Roman" w:cs="Times New Roman"/>
          <w:color w:val="3F3F3F"/>
          <w:sz w:val="24"/>
          <w:szCs w:val="24"/>
        </w:rPr>
        <w:t>.</w:t>
      </w:r>
    </w:p>
    <w:p w14:paraId="788A58D0"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Clearly, the addressee is aware that Mary prefers to watch videos unaccompanied, whenever called upon to view one. In terms of the application of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the key point here is that one develops a preference through experience when faced with two or more options. Feasibly, Mary could have watched the videos first in the company of another person or a larger group of people.</w:t>
      </w:r>
    </w:p>
    <w:p w14:paraId="6E7E19B9"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76ADB947"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To sum up, Egan (2008, p.107) states that the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construction “refers to a recurrent scenario preferred by the subject to possible alternatives.”</w:t>
      </w:r>
    </w:p>
    <w:p w14:paraId="01A9C85E"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69785D17"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2. ‘Be in the habit of’</w:t>
      </w:r>
    </w:p>
    <w:p w14:paraId="49983C3C"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704B98EB"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During late childhood boys </w:t>
      </w:r>
      <w:r>
        <w:rPr>
          <w:rFonts w:ascii="Times New Roman" w:eastAsia="Times New Roman" w:hAnsi="Times New Roman" w:cs="Times New Roman"/>
          <w:b/>
          <w:i/>
          <w:color w:val="000000"/>
          <w:sz w:val="24"/>
          <w:szCs w:val="24"/>
        </w:rPr>
        <w:t>like to tease</w:t>
      </w:r>
      <w:r>
        <w:rPr>
          <w:rFonts w:ascii="Times New Roman" w:eastAsia="Times New Roman" w:hAnsi="Times New Roman" w:cs="Times New Roman"/>
          <w:i/>
          <w:color w:val="3F3F3F"/>
          <w:sz w:val="24"/>
          <w:szCs w:val="24"/>
        </w:rPr>
        <w:t>, </w:t>
      </w:r>
      <w:r>
        <w:rPr>
          <w:rFonts w:ascii="Times New Roman" w:eastAsia="Times New Roman" w:hAnsi="Times New Roman" w:cs="Times New Roman"/>
          <w:b/>
          <w:i/>
          <w:color w:val="000000"/>
          <w:sz w:val="24"/>
          <w:szCs w:val="24"/>
        </w:rPr>
        <w:t>jostle</w:t>
      </w:r>
      <w:r>
        <w:rPr>
          <w:rFonts w:ascii="Times New Roman" w:eastAsia="Times New Roman" w:hAnsi="Times New Roman" w:cs="Times New Roman"/>
          <w:i/>
          <w:color w:val="3F3F3F"/>
          <w:sz w:val="24"/>
          <w:szCs w:val="24"/>
        </w:rPr>
        <w:t>, and </w:t>
      </w:r>
      <w:r>
        <w:rPr>
          <w:rFonts w:ascii="Times New Roman" w:eastAsia="Times New Roman" w:hAnsi="Times New Roman" w:cs="Times New Roman"/>
          <w:b/>
          <w:i/>
          <w:color w:val="000000"/>
          <w:sz w:val="24"/>
          <w:szCs w:val="24"/>
        </w:rPr>
        <w:t>talk</w:t>
      </w:r>
      <w:r>
        <w:rPr>
          <w:rFonts w:ascii="Times New Roman" w:eastAsia="Times New Roman" w:hAnsi="Times New Roman" w:cs="Times New Roman"/>
          <w:i/>
          <w:color w:val="3F3F3F"/>
          <w:sz w:val="24"/>
          <w:szCs w:val="24"/>
        </w:rPr>
        <w:t> smart to girls</w:t>
      </w:r>
      <w:r>
        <w:rPr>
          <w:rFonts w:ascii="Times New Roman" w:eastAsia="Times New Roman" w:hAnsi="Times New Roman" w:cs="Times New Roman"/>
          <w:color w:val="3F3F3F"/>
          <w:sz w:val="24"/>
          <w:szCs w:val="24"/>
        </w:rPr>
        <w:t>;</w:t>
      </w:r>
    </w:p>
    <w:p w14:paraId="1F366862"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(Brown University Corpus J47 0740, in Duffley, 2004, p.372)</w:t>
      </w:r>
    </w:p>
    <w:p w14:paraId="054F3891"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4B39D8A9"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color w:val="000000"/>
          <w:sz w:val="24"/>
          <w:szCs w:val="24"/>
        </w:rPr>
        <w:t>3</w:t>
      </w:r>
      <w:r>
        <w:rPr>
          <w:rFonts w:ascii="Times New Roman" w:eastAsia="Times New Roman" w:hAnsi="Times New Roman" w:cs="Times New Roman"/>
          <w:b/>
          <w:i/>
          <w:color w:val="000000"/>
          <w:sz w:val="24"/>
          <w:szCs w:val="24"/>
        </w:rPr>
        <w:t>. Situations which are likely to occur at more or less regular intervals</w:t>
      </w:r>
    </w:p>
    <w:p w14:paraId="053997E6"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0D85177E"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Intriguingly, Egan (2008, p.34) states that there is no consensus in the literature regarding how to interpret the construction in the following sentence:</w:t>
      </w:r>
    </w:p>
    <w:p w14:paraId="45E2F472"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In the afternoon my wife </w:t>
      </w:r>
      <w:r>
        <w:rPr>
          <w:rFonts w:ascii="Times New Roman" w:eastAsia="Times New Roman" w:hAnsi="Times New Roman" w:cs="Times New Roman"/>
          <w:b/>
          <w:i/>
          <w:color w:val="000000"/>
          <w:sz w:val="24"/>
          <w:szCs w:val="24"/>
        </w:rPr>
        <w:t>likes to go out</w:t>
      </w:r>
      <w:r>
        <w:rPr>
          <w:rFonts w:ascii="Times New Roman" w:eastAsia="Times New Roman" w:hAnsi="Times New Roman" w:cs="Times New Roman"/>
          <w:i/>
          <w:color w:val="3F3F3F"/>
          <w:sz w:val="24"/>
          <w:szCs w:val="24"/>
        </w:rPr>
        <w:t> and look around car boot sales</w:t>
      </w:r>
      <w:r>
        <w:rPr>
          <w:rFonts w:ascii="Times New Roman" w:eastAsia="Times New Roman" w:hAnsi="Times New Roman" w:cs="Times New Roman"/>
          <w:color w:val="3F3F3F"/>
          <w:sz w:val="24"/>
          <w:szCs w:val="24"/>
        </w:rPr>
        <w:t>.</w:t>
      </w:r>
    </w:p>
    <w:p w14:paraId="2EC891AE"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lastRenderedPageBreak/>
        <w:t>Nevertheless, Egan (ibid.) proposes that such constructions profile situations “as likely to occur at more or less regular intervals”. Going one step further, Egan argues that the subject realises these situations “on all suitable occasions”.</w:t>
      </w:r>
    </w:p>
    <w:p w14:paraId="5F899900"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Egan (2008, p.35) offers another situation containing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followed by a to-infinitive complement with the verb ‘regularly’:</w:t>
      </w:r>
    </w:p>
    <w:p w14:paraId="3CBF7835"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If you </w:t>
      </w:r>
      <w:r>
        <w:rPr>
          <w:rFonts w:ascii="Times New Roman" w:eastAsia="Times New Roman" w:hAnsi="Times New Roman" w:cs="Times New Roman"/>
          <w:b/>
          <w:i/>
          <w:color w:val="000000"/>
          <w:sz w:val="24"/>
          <w:szCs w:val="24"/>
        </w:rPr>
        <w:t>like to drink</w:t>
      </w:r>
      <w:r>
        <w:rPr>
          <w:rFonts w:ascii="Times New Roman" w:eastAsia="Times New Roman" w:hAnsi="Times New Roman" w:cs="Times New Roman"/>
          <w:i/>
          <w:color w:val="3F3F3F"/>
          <w:sz w:val="24"/>
          <w:szCs w:val="24"/>
        </w:rPr>
        <w:t> alcohol regularly, you will probably find this is the most pleasant week of the diet, provided you don't experience a reaction to it</w:t>
      </w:r>
      <w:r>
        <w:rPr>
          <w:rFonts w:ascii="Times New Roman" w:eastAsia="Times New Roman" w:hAnsi="Times New Roman" w:cs="Times New Roman"/>
          <w:color w:val="3F3F3F"/>
          <w:sz w:val="24"/>
          <w:szCs w:val="24"/>
        </w:rPr>
        <w:t>.</w:t>
      </w:r>
    </w:p>
    <w:p w14:paraId="18734F9D"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1AC20305"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4. Situations which are likely to occur at irregular intervals</w:t>
      </w:r>
    </w:p>
    <w:p w14:paraId="1FFA8726"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691F7659"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If one examines corpora, as Egan has done, they will find plenty of situations containing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which are likely to occur whenever a suitable opportunity presents itself, i.e. at irregular intervals.</w:t>
      </w:r>
    </w:p>
    <w:p w14:paraId="770C215A"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Egan (2008, p.35) dug out the following example in his study of infinitive and -ing clauses: </w:t>
      </w:r>
    </w:p>
    <w:p w14:paraId="27685E8D"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Martin occasionally, and fancifully, </w:t>
      </w:r>
      <w:r>
        <w:rPr>
          <w:rFonts w:ascii="Times New Roman" w:eastAsia="Times New Roman" w:hAnsi="Times New Roman" w:cs="Times New Roman"/>
          <w:b/>
          <w:i/>
          <w:color w:val="000000"/>
          <w:sz w:val="24"/>
          <w:szCs w:val="24"/>
        </w:rPr>
        <w:t>likes to picture</w:t>
      </w:r>
      <w:r>
        <w:rPr>
          <w:rFonts w:ascii="Times New Roman" w:eastAsia="Times New Roman" w:hAnsi="Times New Roman" w:cs="Times New Roman"/>
          <w:i/>
          <w:color w:val="3F3F3F"/>
          <w:sz w:val="24"/>
          <w:szCs w:val="24"/>
        </w:rPr>
        <w:t> himself as a daredevil cuester, a flashing Jimmy White to my grinding Cliff Thorburn</w:t>
      </w:r>
      <w:r>
        <w:rPr>
          <w:rFonts w:ascii="Times New Roman" w:eastAsia="Times New Roman" w:hAnsi="Times New Roman" w:cs="Times New Roman"/>
          <w:color w:val="3F3F3F"/>
          <w:sz w:val="24"/>
          <w:szCs w:val="24"/>
        </w:rPr>
        <w:t>.</w:t>
      </w:r>
    </w:p>
    <w:p w14:paraId="6A000D94"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The adverb ‘occasionally’ clearly denotes the irregularity of the event.</w:t>
      </w:r>
    </w:p>
    <w:p w14:paraId="1F15D61D"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Here’s another example (in Egan, 2008, p.77) in which the action of ‘going home’ is likely to occur at irregular intervals in time:</w:t>
      </w:r>
    </w:p>
    <w:p w14:paraId="23C3C6DE"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We don't want the problems on our own doorstep cos when the chips are down, we </w:t>
      </w:r>
      <w:r>
        <w:rPr>
          <w:rFonts w:ascii="Times New Roman" w:eastAsia="Times New Roman" w:hAnsi="Times New Roman" w:cs="Times New Roman"/>
          <w:b/>
          <w:i/>
          <w:color w:val="000000"/>
          <w:sz w:val="24"/>
          <w:szCs w:val="24"/>
        </w:rPr>
        <w:t>like to go</w:t>
      </w:r>
      <w:r>
        <w:rPr>
          <w:rFonts w:ascii="Times New Roman" w:eastAsia="Times New Roman" w:hAnsi="Times New Roman" w:cs="Times New Roman"/>
          <w:i/>
          <w:color w:val="3F3F3F"/>
          <w:sz w:val="24"/>
          <w:szCs w:val="24"/>
        </w:rPr>
        <w:t> home, and we </w:t>
      </w:r>
      <w:r>
        <w:rPr>
          <w:rFonts w:ascii="Times New Roman" w:eastAsia="Times New Roman" w:hAnsi="Times New Roman" w:cs="Times New Roman"/>
          <w:b/>
          <w:i/>
          <w:color w:val="000000"/>
          <w:sz w:val="24"/>
          <w:szCs w:val="24"/>
        </w:rPr>
        <w:t>like to feel</w:t>
      </w:r>
      <w:r>
        <w:rPr>
          <w:rFonts w:ascii="Times New Roman" w:eastAsia="Times New Roman" w:hAnsi="Times New Roman" w:cs="Times New Roman"/>
          <w:i/>
          <w:color w:val="3F3F3F"/>
          <w:sz w:val="24"/>
          <w:szCs w:val="24"/>
        </w:rPr>
        <w:t> safe and if somebody's entered your premises as an intruder then all of a sudden your security been taken away</w:t>
      </w:r>
      <w:r>
        <w:rPr>
          <w:rFonts w:ascii="Times New Roman" w:eastAsia="Times New Roman" w:hAnsi="Times New Roman" w:cs="Times New Roman"/>
          <w:color w:val="3F3F3F"/>
          <w:sz w:val="24"/>
          <w:szCs w:val="24"/>
        </w:rPr>
        <w:t>.</w:t>
      </w:r>
    </w:p>
    <w:p w14:paraId="28B0EC32"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The key point in the example above is that the action is dependent on another situation, i.e. when the chips are down.</w:t>
      </w:r>
    </w:p>
    <w:p w14:paraId="266200D3"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18C65D25"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5. Situations which occur invariably</w:t>
      </w:r>
    </w:p>
    <w:p w14:paraId="0CF01AA7"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723B33B5"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If we take the following situation (in Egan, 2008, p.35) at face value, replacing </w:t>
      </w:r>
      <w:r>
        <w:rPr>
          <w:rFonts w:ascii="Times New Roman" w:eastAsia="Times New Roman" w:hAnsi="Times New Roman" w:cs="Times New Roman"/>
          <w:i/>
          <w:color w:val="3F3F3F"/>
          <w:sz w:val="24"/>
          <w:szCs w:val="24"/>
        </w:rPr>
        <w:t>love</w:t>
      </w:r>
      <w:r>
        <w:rPr>
          <w:rFonts w:ascii="Times New Roman" w:eastAsia="Times New Roman" w:hAnsi="Times New Roman" w:cs="Times New Roman"/>
          <w:color w:val="3F3F3F"/>
          <w:sz w:val="24"/>
          <w:szCs w:val="24"/>
        </w:rPr>
        <w:t> with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then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describes events which occur invariably, i.e. on all suitable occasions:</w:t>
      </w:r>
    </w:p>
    <w:p w14:paraId="643BAC0D" w14:textId="77777777" w:rsidR="00855B23" w:rsidRDefault="00000000">
      <w:pPr>
        <w:shd w:val="clear" w:color="auto" w:fill="FFFFFF"/>
        <w:spacing w:after="0"/>
        <w:rPr>
          <w:rFonts w:ascii="Times New Roman" w:eastAsia="Times New Roman" w:hAnsi="Times New Roman" w:cs="Times New Roman"/>
          <w:i/>
          <w:color w:val="3F3F3F"/>
          <w:sz w:val="24"/>
          <w:szCs w:val="24"/>
        </w:rPr>
      </w:pPr>
      <w:r>
        <w:rPr>
          <w:rFonts w:ascii="Times New Roman" w:eastAsia="Times New Roman" w:hAnsi="Times New Roman" w:cs="Times New Roman"/>
          <w:i/>
          <w:color w:val="3F3F3F"/>
          <w:sz w:val="24"/>
          <w:szCs w:val="24"/>
        </w:rPr>
        <w:t>Is there a certain time when you always </w:t>
      </w:r>
      <w:r>
        <w:rPr>
          <w:rFonts w:ascii="Times New Roman" w:eastAsia="Times New Roman" w:hAnsi="Times New Roman" w:cs="Times New Roman"/>
          <w:b/>
          <w:i/>
          <w:color w:val="000000"/>
          <w:sz w:val="24"/>
          <w:szCs w:val="24"/>
        </w:rPr>
        <w:t>love to sit down</w:t>
      </w:r>
      <w:r>
        <w:rPr>
          <w:rFonts w:ascii="Times New Roman" w:eastAsia="Times New Roman" w:hAnsi="Times New Roman" w:cs="Times New Roman"/>
          <w:i/>
          <w:color w:val="3F3F3F"/>
          <w:sz w:val="24"/>
          <w:szCs w:val="24"/>
        </w:rPr>
        <w:t> with a relaxing drink and something to eat?</w:t>
      </w:r>
    </w:p>
    <w:p w14:paraId="60444DF4"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376F84AC"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6. Like + to-infinitives together with adverbials</w:t>
      </w:r>
    </w:p>
    <w:p w14:paraId="4C419E10"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0C59B504"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A plethora of adverbial types may be used in conjunction with the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construction. The following examples with the adverbials underlined appear in Egan (2008, p.36): </w:t>
      </w:r>
    </w:p>
    <w:p w14:paraId="68820ED3" w14:textId="77777777" w:rsidR="00855B23" w:rsidRDefault="00000000">
      <w:pPr>
        <w:shd w:val="clear" w:color="auto" w:fill="FFFFFF"/>
        <w:spacing w:after="0" w:line="240" w:lineRule="auto"/>
        <w:rPr>
          <w:rFonts w:ascii="Times New Roman" w:eastAsia="Times New Roman" w:hAnsi="Times New Roman" w:cs="Times New Roman"/>
          <w:color w:val="3F3F3F"/>
          <w:sz w:val="24"/>
          <w:szCs w:val="24"/>
        </w:rPr>
      </w:pPr>
      <w:r>
        <w:rPr>
          <w:rFonts w:ascii="Times New Roman" w:eastAsia="Times New Roman" w:hAnsi="Times New Roman" w:cs="Times New Roman"/>
          <w:noProof/>
          <w:color w:val="3F3F3F"/>
          <w:sz w:val="24"/>
          <w:szCs w:val="24"/>
        </w:rPr>
        <w:lastRenderedPageBreak/>
        <w:drawing>
          <wp:inline distT="0" distB="0" distL="0" distR="0" wp14:anchorId="1D4BF0EF" wp14:editId="0566BC9F">
            <wp:extent cx="5760720" cy="2273300"/>
            <wp:effectExtent l="0" t="0" r="0" b="0"/>
            <wp:docPr id="1828559066" name="image1.png" descr="Sentences which contain the like to-infinitive construction"/>
            <wp:cNvGraphicFramePr/>
            <a:graphic xmlns:a="http://schemas.openxmlformats.org/drawingml/2006/main">
              <a:graphicData uri="http://schemas.openxmlformats.org/drawingml/2006/picture">
                <pic:pic xmlns:pic="http://schemas.openxmlformats.org/drawingml/2006/picture">
                  <pic:nvPicPr>
                    <pic:cNvPr id="0" name="image1.png" descr="Sentences which contain the like to-infinitive construction"/>
                    <pic:cNvPicPr preferRelativeResize="0"/>
                  </pic:nvPicPr>
                  <pic:blipFill>
                    <a:blip r:embed="rId7"/>
                    <a:srcRect/>
                    <a:stretch>
                      <a:fillRect/>
                    </a:stretch>
                  </pic:blipFill>
                  <pic:spPr>
                    <a:xfrm>
                      <a:off x="0" y="0"/>
                      <a:ext cx="5760720" cy="2273300"/>
                    </a:xfrm>
                    <a:prstGeom prst="rect">
                      <a:avLst/>
                    </a:prstGeom>
                    <a:ln/>
                  </pic:spPr>
                </pic:pic>
              </a:graphicData>
            </a:graphic>
          </wp:inline>
        </w:drawing>
      </w:r>
    </w:p>
    <w:p w14:paraId="607FB394" w14:textId="77777777" w:rsidR="00855B23" w:rsidRDefault="00000000">
      <w:pPr>
        <w:shd w:val="clear" w:color="auto" w:fill="FFFFFF"/>
        <w:rPr>
          <w:rFonts w:ascii="Times New Roman" w:eastAsia="Times New Roman" w:hAnsi="Times New Roman" w:cs="Times New Roman"/>
          <w:color w:val="696969"/>
          <w:sz w:val="24"/>
          <w:szCs w:val="24"/>
        </w:rPr>
      </w:pPr>
      <w:r>
        <w:rPr>
          <w:rFonts w:ascii="Times New Roman" w:eastAsia="Times New Roman" w:hAnsi="Times New Roman" w:cs="Times New Roman"/>
          <w:color w:val="696969"/>
          <w:sz w:val="24"/>
          <w:szCs w:val="24"/>
        </w:rPr>
        <w:t>In Egan, 2008, p.36</w:t>
      </w:r>
    </w:p>
    <w:p w14:paraId="1E19296E"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In all of the examples above, the likely occasions of realisation are all encoded explicitly. For instance, the adverbial in (57), “when I can”, implies the realisation of the complement situation on all suitable occasions. It simultaneously implies that such occasions are not likely to come about all that often.</w:t>
      </w:r>
    </w:p>
    <w:p w14:paraId="465733AF"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The to-infinitive in the following example is used in what Egan terms a General construction:</w:t>
      </w:r>
    </w:p>
    <w:p w14:paraId="1A66886F"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Whatever our Customers want to say, we </w:t>
      </w:r>
      <w:r>
        <w:rPr>
          <w:rFonts w:ascii="Times New Roman" w:eastAsia="Times New Roman" w:hAnsi="Times New Roman" w:cs="Times New Roman"/>
          <w:b/>
          <w:i/>
          <w:color w:val="000000"/>
          <w:sz w:val="24"/>
          <w:szCs w:val="24"/>
        </w:rPr>
        <w:t>like</w:t>
      </w:r>
      <w:r>
        <w:rPr>
          <w:rFonts w:ascii="Times New Roman" w:eastAsia="Times New Roman" w:hAnsi="Times New Roman" w:cs="Times New Roman"/>
          <w:i/>
          <w:color w:val="3F3F3F"/>
          <w:sz w:val="24"/>
          <w:szCs w:val="24"/>
        </w:rPr>
        <w:t> them </w:t>
      </w:r>
      <w:r>
        <w:rPr>
          <w:rFonts w:ascii="Times New Roman" w:eastAsia="Times New Roman" w:hAnsi="Times New Roman" w:cs="Times New Roman"/>
          <w:b/>
          <w:i/>
          <w:color w:val="000000"/>
          <w:sz w:val="24"/>
          <w:szCs w:val="24"/>
        </w:rPr>
        <w:t>to speak</w:t>
      </w:r>
      <w:r>
        <w:rPr>
          <w:rFonts w:ascii="Times New Roman" w:eastAsia="Times New Roman" w:hAnsi="Times New Roman" w:cs="Times New Roman"/>
          <w:i/>
          <w:color w:val="3F3F3F"/>
          <w:sz w:val="24"/>
          <w:szCs w:val="24"/>
        </w:rPr>
        <w:t> to the staff at Shell stations first</w:t>
      </w:r>
      <w:r>
        <w:rPr>
          <w:rFonts w:ascii="Times New Roman" w:eastAsia="Times New Roman" w:hAnsi="Times New Roman" w:cs="Times New Roman"/>
          <w:color w:val="3F3F3F"/>
          <w:sz w:val="24"/>
          <w:szCs w:val="24"/>
        </w:rPr>
        <w:t>.</w:t>
      </w:r>
    </w:p>
    <w:p w14:paraId="6A8CC537"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Again, the to-infinitive (to speak) encodes a </w:t>
      </w:r>
      <w:r>
        <w:rPr>
          <w:rFonts w:ascii="Times New Roman" w:eastAsia="Times New Roman" w:hAnsi="Times New Roman" w:cs="Times New Roman"/>
          <w:i/>
          <w:color w:val="3F3F3F"/>
          <w:sz w:val="24"/>
          <w:szCs w:val="24"/>
        </w:rPr>
        <w:t>likely</w:t>
      </w:r>
      <w:r>
        <w:rPr>
          <w:rFonts w:ascii="Times New Roman" w:eastAsia="Times New Roman" w:hAnsi="Times New Roman" w:cs="Times New Roman"/>
          <w:color w:val="3F3F3F"/>
          <w:sz w:val="24"/>
          <w:szCs w:val="24"/>
        </w:rPr>
        <w:t> candidate for realisation (Egan, 2008, p.53).</w:t>
      </w:r>
    </w:p>
    <w:p w14:paraId="3576C658"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28A3DF02"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7. Varying degrees of satisfaction</w:t>
      </w:r>
    </w:p>
    <w:p w14:paraId="31AF1CAE"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25EC0798"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One thing that makes choosing between like to or like -ing difficult for learners of English is whether the pleasure is simultaneous (as with the ‘like</w:t>
      </w:r>
      <w:r>
        <w:rPr>
          <w:rFonts w:ascii="Times New Roman" w:eastAsia="Times New Roman" w:hAnsi="Times New Roman" w:cs="Times New Roman"/>
          <w:i/>
          <w:color w:val="3F3F3F"/>
          <w:sz w:val="24"/>
          <w:szCs w:val="24"/>
        </w:rPr>
        <w:t> -ing</w:t>
      </w:r>
      <w:r>
        <w:rPr>
          <w:rFonts w:ascii="Times New Roman" w:eastAsia="Times New Roman" w:hAnsi="Times New Roman" w:cs="Times New Roman"/>
          <w:color w:val="3F3F3F"/>
          <w:sz w:val="24"/>
          <w:szCs w:val="24"/>
        </w:rPr>
        <w:t>’ construction, or it encodes enjoyment and pleasure of various forms on a more occasional basis (as with the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construction).</w:t>
      </w:r>
    </w:p>
    <w:p w14:paraId="6AEC1786"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Egan (2008, p.166) offers some fascinating insight into the nature of the satisfaction which the subject strives to achieve in the ‘like</w:t>
      </w:r>
      <w:r>
        <w:rPr>
          <w:rFonts w:ascii="Times New Roman" w:eastAsia="Times New Roman" w:hAnsi="Times New Roman" w:cs="Times New Roman"/>
          <w:i/>
          <w:color w:val="3F3F3F"/>
          <w:sz w:val="24"/>
          <w:szCs w:val="24"/>
        </w:rPr>
        <w:t> to-infinitive</w:t>
      </w:r>
      <w:r>
        <w:rPr>
          <w:rFonts w:ascii="Times New Roman" w:eastAsia="Times New Roman" w:hAnsi="Times New Roman" w:cs="Times New Roman"/>
          <w:color w:val="3F3F3F"/>
          <w:sz w:val="24"/>
          <w:szCs w:val="24"/>
        </w:rPr>
        <w:t>’ construction. For instance, the satisfaction may be moral or sensual in nature, or indeed purely “afforded by a good conscience”. In terms of being morally principled, check out the following sentence (ibid.):</w:t>
      </w:r>
    </w:p>
    <w:p w14:paraId="7E4F708E"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Similarly, since most men </w:t>
      </w:r>
      <w:r>
        <w:rPr>
          <w:rFonts w:ascii="Times New Roman" w:eastAsia="Times New Roman" w:hAnsi="Times New Roman" w:cs="Times New Roman"/>
          <w:b/>
          <w:i/>
          <w:color w:val="000000"/>
          <w:sz w:val="24"/>
          <w:szCs w:val="24"/>
        </w:rPr>
        <w:t>like to be</w:t>
      </w:r>
      <w:r>
        <w:rPr>
          <w:rFonts w:ascii="Times New Roman" w:eastAsia="Times New Roman" w:hAnsi="Times New Roman" w:cs="Times New Roman"/>
          <w:i/>
          <w:color w:val="3F3F3F"/>
          <w:sz w:val="24"/>
          <w:szCs w:val="24"/>
        </w:rPr>
        <w:t> seen to do the paying, it is a tactful precaution if, at the start of the evening out, she gives him the theatre tickets ‘to take care of’</w:t>
      </w:r>
      <w:r>
        <w:rPr>
          <w:rFonts w:ascii="Times New Roman" w:eastAsia="Times New Roman" w:hAnsi="Times New Roman" w:cs="Times New Roman"/>
          <w:color w:val="3F3F3F"/>
          <w:sz w:val="24"/>
          <w:szCs w:val="24"/>
        </w:rPr>
        <w:t>...</w:t>
      </w:r>
    </w:p>
    <w:p w14:paraId="489DE19C"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6BE4F868"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8. ‘Try to if one can’</w:t>
      </w:r>
    </w:p>
    <w:p w14:paraId="4A1AACB6"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7C609090"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I </w:t>
      </w:r>
      <w:r>
        <w:rPr>
          <w:rFonts w:ascii="Times New Roman" w:eastAsia="Times New Roman" w:hAnsi="Times New Roman" w:cs="Times New Roman"/>
          <w:b/>
          <w:i/>
          <w:color w:val="000000"/>
          <w:sz w:val="24"/>
          <w:szCs w:val="24"/>
        </w:rPr>
        <w:t>like to get</w:t>
      </w:r>
      <w:r>
        <w:rPr>
          <w:rFonts w:ascii="Times New Roman" w:eastAsia="Times New Roman" w:hAnsi="Times New Roman" w:cs="Times New Roman"/>
          <w:i/>
          <w:color w:val="3F3F3F"/>
          <w:sz w:val="24"/>
          <w:szCs w:val="24"/>
        </w:rPr>
        <w:t> as much as possible of this planting done in November while the temperature of the soil is still fairly high, for this gives the roots a reasonable chance to get themselves established</w:t>
      </w:r>
      <w:r>
        <w:rPr>
          <w:rFonts w:ascii="Times New Roman" w:eastAsia="Times New Roman" w:hAnsi="Times New Roman" w:cs="Times New Roman"/>
          <w:color w:val="3F3F3F"/>
          <w:sz w:val="24"/>
          <w:szCs w:val="24"/>
        </w:rPr>
        <w:t>.</w:t>
      </w:r>
    </w:p>
    <w:p w14:paraId="1F96EB56"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(Lancaster-Oslo/Bergen Corpus E08 69, in Duffley, 2004, p.372)</w:t>
      </w:r>
    </w:p>
    <w:p w14:paraId="7BCF0201"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4F8CD04E"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9. 'Always be ready and willing to'</w:t>
      </w:r>
    </w:p>
    <w:p w14:paraId="6820288F"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34C0E931"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She is a beautiful filly and </w:t>
      </w:r>
      <w:r>
        <w:rPr>
          <w:rFonts w:ascii="Times New Roman" w:eastAsia="Times New Roman" w:hAnsi="Times New Roman" w:cs="Times New Roman"/>
          <w:b/>
          <w:i/>
          <w:color w:val="000000"/>
          <w:sz w:val="24"/>
          <w:szCs w:val="24"/>
        </w:rPr>
        <w:t>likes to trot</w:t>
      </w:r>
      <w:r>
        <w:rPr>
          <w:rFonts w:ascii="Times New Roman" w:eastAsia="Times New Roman" w:hAnsi="Times New Roman" w:cs="Times New Roman"/>
          <w:color w:val="3F3F3F"/>
          <w:sz w:val="24"/>
          <w:szCs w:val="24"/>
        </w:rPr>
        <w:t>. </w:t>
      </w:r>
    </w:p>
    <w:p w14:paraId="67BEBE36"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lastRenderedPageBreak/>
        <w:t>(Brown University Corpus E09 0910, in Duffley, 2004, p.372)</w:t>
      </w:r>
    </w:p>
    <w:p w14:paraId="1B940D6A"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19D34F49"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10. 'want, wish'</w:t>
      </w:r>
    </w:p>
    <w:p w14:paraId="5A956AB3"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312B444C"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First of all, no unit </w:t>
      </w:r>
      <w:r>
        <w:rPr>
          <w:rFonts w:ascii="Times New Roman" w:eastAsia="Times New Roman" w:hAnsi="Times New Roman" w:cs="Times New Roman"/>
          <w:b/>
          <w:i/>
          <w:color w:val="000000"/>
          <w:sz w:val="24"/>
          <w:szCs w:val="24"/>
        </w:rPr>
        <w:t>likes to have</w:t>
      </w:r>
      <w:r>
        <w:rPr>
          <w:rFonts w:ascii="Times New Roman" w:eastAsia="Times New Roman" w:hAnsi="Times New Roman" w:cs="Times New Roman"/>
          <w:i/>
          <w:color w:val="3F3F3F"/>
          <w:sz w:val="24"/>
          <w:szCs w:val="24"/>
        </w:rPr>
        <w:t> a new CO brought in from outside, especially when he's an armchair trooper</w:t>
      </w:r>
      <w:r>
        <w:rPr>
          <w:rFonts w:ascii="Times New Roman" w:eastAsia="Times New Roman" w:hAnsi="Times New Roman" w:cs="Times New Roman"/>
          <w:color w:val="3F3F3F"/>
          <w:sz w:val="24"/>
          <w:szCs w:val="24"/>
        </w:rPr>
        <w:t>. </w:t>
      </w:r>
    </w:p>
    <w:p w14:paraId="63E7E755"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(Brown University Corpus F22 0270, in Duffley, 2004, p.373)</w:t>
      </w:r>
    </w:p>
    <w:p w14:paraId="52A28BE8"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40DE2FED"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11. 'tend to'</w:t>
      </w:r>
    </w:p>
    <w:p w14:paraId="26E17F7A"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33E41FC5"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A man has 32 souls, one for each part of the body. Those souls </w:t>
      </w:r>
      <w:r>
        <w:rPr>
          <w:rFonts w:ascii="Times New Roman" w:eastAsia="Times New Roman" w:hAnsi="Times New Roman" w:cs="Times New Roman"/>
          <w:b/>
          <w:i/>
          <w:color w:val="000000"/>
          <w:sz w:val="24"/>
          <w:szCs w:val="24"/>
        </w:rPr>
        <w:t>like to wander off</w:t>
      </w:r>
      <w:r>
        <w:rPr>
          <w:rFonts w:ascii="Times New Roman" w:eastAsia="Times New Roman" w:hAnsi="Times New Roman" w:cs="Times New Roman"/>
          <w:i/>
          <w:color w:val="3F3F3F"/>
          <w:sz w:val="24"/>
          <w:szCs w:val="24"/>
        </w:rPr>
        <w:t>, and must be called back</w:t>
      </w:r>
      <w:r>
        <w:rPr>
          <w:rFonts w:ascii="Times New Roman" w:eastAsia="Times New Roman" w:hAnsi="Times New Roman" w:cs="Times New Roman"/>
          <w:color w:val="3F3F3F"/>
          <w:sz w:val="24"/>
          <w:szCs w:val="24"/>
        </w:rPr>
        <w:t>.</w:t>
      </w:r>
    </w:p>
    <w:p w14:paraId="51A3A819"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(Brown University Corpus F24 1660, in Duffley, 2004, p.373)</w:t>
      </w:r>
    </w:p>
    <w:p w14:paraId="0E74B7A1"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2EB54839"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12. ‘be fond of’</w:t>
      </w:r>
    </w:p>
    <w:p w14:paraId="7BA0770A"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5603ADA6"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She skipped a piece of water at him and laughed, a funny, hoarse laugh he </w:t>
      </w:r>
      <w:r>
        <w:rPr>
          <w:rFonts w:ascii="Times New Roman" w:eastAsia="Times New Roman" w:hAnsi="Times New Roman" w:cs="Times New Roman"/>
          <w:b/>
          <w:i/>
          <w:color w:val="000000"/>
          <w:sz w:val="24"/>
          <w:szCs w:val="24"/>
        </w:rPr>
        <w:t>liked to hear</w:t>
      </w:r>
      <w:r>
        <w:rPr>
          <w:rFonts w:ascii="Times New Roman" w:eastAsia="Times New Roman" w:hAnsi="Times New Roman" w:cs="Times New Roman"/>
          <w:color w:val="3F3F3F"/>
          <w:sz w:val="24"/>
          <w:szCs w:val="24"/>
        </w:rPr>
        <w:t>. </w:t>
      </w:r>
    </w:p>
    <w:p w14:paraId="66298C40"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(Brown University Corpus P16 1240, in Duffley, 2004, p.374)</w:t>
      </w:r>
    </w:p>
    <w:p w14:paraId="62F65002"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1E6857FC"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13. ‘be happy to’</w:t>
      </w:r>
    </w:p>
    <w:p w14:paraId="240430AC"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4FCBECF5"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A fascinating letter has just reached this desk from a correspondent who </w:t>
      </w:r>
      <w:r>
        <w:rPr>
          <w:rFonts w:ascii="Times New Roman" w:eastAsia="Times New Roman" w:hAnsi="Times New Roman" w:cs="Times New Roman"/>
          <w:b/>
          <w:i/>
          <w:color w:val="000000"/>
          <w:sz w:val="24"/>
          <w:szCs w:val="24"/>
        </w:rPr>
        <w:t>likes to receive</w:t>
      </w:r>
      <w:r>
        <w:rPr>
          <w:rFonts w:ascii="Times New Roman" w:eastAsia="Times New Roman" w:hAnsi="Times New Roman" w:cs="Times New Roman"/>
          <w:i/>
          <w:color w:val="3F3F3F"/>
          <w:sz w:val="24"/>
          <w:szCs w:val="24"/>
        </w:rPr>
        <w:t> so-called junk mail</w:t>
      </w:r>
      <w:r>
        <w:rPr>
          <w:rFonts w:ascii="Times New Roman" w:eastAsia="Times New Roman" w:hAnsi="Times New Roman" w:cs="Times New Roman"/>
          <w:color w:val="3F3F3F"/>
          <w:sz w:val="24"/>
          <w:szCs w:val="24"/>
        </w:rPr>
        <w:t>.</w:t>
      </w:r>
    </w:p>
    <w:p w14:paraId="5D4E4EDD"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(Brown University Corpus B07 1655, in Duffley, 2004, p.374)</w:t>
      </w:r>
    </w:p>
    <w:p w14:paraId="203468A7"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159F8585" w14:textId="77777777" w:rsidR="00855B23" w:rsidRDefault="00000000">
      <w:pPr>
        <w:shd w:val="clear" w:color="auto" w:fill="FFFFFF"/>
        <w:spacing w:after="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14. 'have an inclination to', 'be inclined to', ‘have a disposition to’</w:t>
      </w:r>
    </w:p>
    <w:p w14:paraId="23D1F14C" w14:textId="77777777" w:rsidR="00855B23" w:rsidRDefault="00855B23">
      <w:pPr>
        <w:shd w:val="clear" w:color="auto" w:fill="FFFFFF"/>
        <w:spacing w:after="0"/>
        <w:rPr>
          <w:rFonts w:ascii="Times New Roman" w:eastAsia="Times New Roman" w:hAnsi="Times New Roman" w:cs="Times New Roman"/>
          <w:i/>
          <w:color w:val="404040"/>
          <w:sz w:val="24"/>
          <w:szCs w:val="24"/>
        </w:rPr>
      </w:pPr>
    </w:p>
    <w:p w14:paraId="4822AA01"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Find out what you </w:t>
      </w:r>
      <w:r>
        <w:rPr>
          <w:rFonts w:ascii="Times New Roman" w:eastAsia="Times New Roman" w:hAnsi="Times New Roman" w:cs="Times New Roman"/>
          <w:b/>
          <w:i/>
          <w:color w:val="000000"/>
          <w:sz w:val="24"/>
          <w:szCs w:val="24"/>
        </w:rPr>
        <w:t>like to do</w:t>
      </w:r>
      <w:r>
        <w:rPr>
          <w:rFonts w:ascii="Times New Roman" w:eastAsia="Times New Roman" w:hAnsi="Times New Roman" w:cs="Times New Roman"/>
          <w:i/>
          <w:color w:val="3F3F3F"/>
          <w:sz w:val="24"/>
          <w:szCs w:val="24"/>
        </w:rPr>
        <w:t> most and really give it a whirl</w:t>
      </w:r>
      <w:r>
        <w:rPr>
          <w:rFonts w:ascii="Times New Roman" w:eastAsia="Times New Roman" w:hAnsi="Times New Roman" w:cs="Times New Roman"/>
          <w:color w:val="3F3F3F"/>
          <w:sz w:val="24"/>
          <w:szCs w:val="24"/>
        </w:rPr>
        <w:t>. </w:t>
      </w:r>
    </w:p>
    <w:p w14:paraId="74E0C772"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(Brown University Corpus F06 0490, in Duffley, 2004, p.372)</w:t>
      </w:r>
    </w:p>
    <w:p w14:paraId="6E504D82"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'Ballad of a Soldier' was a simple story of a pure young boy and a pretty girl falling in love. It was something with which audiences </w:t>
      </w:r>
      <w:r>
        <w:rPr>
          <w:rFonts w:ascii="Times New Roman" w:eastAsia="Times New Roman" w:hAnsi="Times New Roman" w:cs="Times New Roman"/>
          <w:b/>
          <w:i/>
          <w:color w:val="000000"/>
          <w:sz w:val="24"/>
          <w:szCs w:val="24"/>
        </w:rPr>
        <w:t>liked to identify </w:t>
      </w:r>
      <w:r>
        <w:rPr>
          <w:rFonts w:ascii="Times New Roman" w:eastAsia="Times New Roman" w:hAnsi="Times New Roman" w:cs="Times New Roman"/>
          <w:i/>
          <w:color w:val="3F3F3F"/>
          <w:sz w:val="24"/>
          <w:szCs w:val="24"/>
        </w:rPr>
        <w:t>themselves</w:t>
      </w:r>
      <w:r>
        <w:rPr>
          <w:rFonts w:ascii="Times New Roman" w:eastAsia="Times New Roman" w:hAnsi="Times New Roman" w:cs="Times New Roman"/>
          <w:color w:val="3F3F3F"/>
          <w:sz w:val="24"/>
          <w:szCs w:val="24"/>
        </w:rPr>
        <w:t>.</w:t>
      </w:r>
    </w:p>
    <w:p w14:paraId="19BA600D"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(Lancaster-Oslo/Bergen Corpus G49 135, in Duffley, 2004, p.372)</w:t>
      </w:r>
    </w:p>
    <w:p w14:paraId="1E0394E3"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Duffley (2004, p.376) identifies these two particular cases as problematic because “the infinitive evokes an event which happens to the subject of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 over whose occurrence the latter has no control.” One assumes, however, that, if it were down to the subject, it would actualise the event as often as possible in the two situations above.</w:t>
      </w:r>
    </w:p>
    <w:p w14:paraId="0A738ADB"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0DA2A47D" w14:textId="77777777" w:rsidR="00855B23" w:rsidRDefault="00000000">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Like + to-infinitive. Summing up</w:t>
      </w:r>
    </w:p>
    <w:p w14:paraId="338D1A57"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473847A8"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Overall, we get the sense that, with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one does something whenever a suitable opportunity arises. The complement situations are usually fulfilled, much to the satisfaction of the subject. </w:t>
      </w:r>
    </w:p>
    <w:p w14:paraId="5521DFE2"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Nevertheless, the possibility of non-execution is not totally ruled out, as Egan (2008, p.164) takes up with this example:</w:t>
      </w:r>
    </w:p>
    <w:p w14:paraId="0F96B181"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lastRenderedPageBreak/>
        <w:t>I </w:t>
      </w:r>
      <w:r>
        <w:rPr>
          <w:rFonts w:ascii="Times New Roman" w:eastAsia="Times New Roman" w:hAnsi="Times New Roman" w:cs="Times New Roman"/>
          <w:b/>
          <w:i/>
          <w:color w:val="000000"/>
          <w:sz w:val="24"/>
          <w:szCs w:val="24"/>
        </w:rPr>
        <w:t>like to buy</w:t>
      </w:r>
      <w:r>
        <w:rPr>
          <w:rFonts w:ascii="Times New Roman" w:eastAsia="Times New Roman" w:hAnsi="Times New Roman" w:cs="Times New Roman"/>
          <w:i/>
          <w:color w:val="3F3F3F"/>
          <w:sz w:val="24"/>
          <w:szCs w:val="24"/>
        </w:rPr>
        <w:t> British, but the candle colours became uneven, delivery was unreliable and they were expensive</w:t>
      </w:r>
      <w:r>
        <w:rPr>
          <w:rFonts w:ascii="Times New Roman" w:eastAsia="Times New Roman" w:hAnsi="Times New Roman" w:cs="Times New Roman"/>
          <w:color w:val="3F3F3F"/>
          <w:sz w:val="24"/>
          <w:szCs w:val="24"/>
        </w:rPr>
        <w:t>.</w:t>
      </w:r>
    </w:p>
    <w:p w14:paraId="23245185" w14:textId="77777777" w:rsidR="00855B23" w:rsidRDefault="00855B23">
      <w:pPr>
        <w:shd w:val="clear" w:color="auto" w:fill="FFFFFF"/>
        <w:spacing w:after="300"/>
        <w:rPr>
          <w:rFonts w:ascii="Times New Roman" w:eastAsia="Times New Roman" w:hAnsi="Times New Roman" w:cs="Times New Roman"/>
          <w:color w:val="3F3F3F"/>
          <w:sz w:val="24"/>
          <w:szCs w:val="24"/>
        </w:rPr>
      </w:pPr>
    </w:p>
    <w:p w14:paraId="435822E0" w14:textId="77777777" w:rsidR="00855B23" w:rsidRDefault="00000000">
      <w:pPr>
        <w:shd w:val="clear" w:color="auto" w:fill="FFFFFF"/>
        <w:spacing w:after="0"/>
        <w:rPr>
          <w:rFonts w:ascii="Times New Roman" w:eastAsia="Times New Roman" w:hAnsi="Times New Roman" w:cs="Times New Roman"/>
          <w:color w:val="404040"/>
          <w:sz w:val="24"/>
          <w:szCs w:val="24"/>
        </w:rPr>
      </w:pPr>
      <w:r>
        <w:rPr>
          <w:rFonts w:ascii="Times New Roman" w:eastAsia="Times New Roman" w:hAnsi="Times New Roman" w:cs="Times New Roman"/>
          <w:b/>
          <w:color w:val="000000"/>
          <w:sz w:val="24"/>
          <w:szCs w:val="24"/>
        </w:rPr>
        <w:t>Like to or like -ing - Summarising the major similarities and differences</w:t>
      </w:r>
    </w:p>
    <w:p w14:paraId="273EB0C3"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Now that I’ve shared the key meanings of both the to-infinitive and -ing form after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it only seems right to examine like to or like-ing in more detail in order to pinpoint the similarities and differences between the constructions. Let’s begin by analysing a table (adapted by Duffley, 2004, p.363 - originally in Bladon, 1968, p.214) which neatly separates the key functions of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and ‘like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forms. </w:t>
      </w:r>
    </w:p>
    <w:p w14:paraId="2B0FE3F6"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1BA913E9" w14:textId="77777777" w:rsidR="00855B23" w:rsidRDefault="00000000">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Selection rules for gerund and to-infinitive syntactic exponents</w:t>
      </w:r>
    </w:p>
    <w:p w14:paraId="406D8652"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44C6C5DD"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The table below summarises the semantic selection criteria for gerunds and to-infinitives:</w:t>
      </w:r>
    </w:p>
    <w:p w14:paraId="18A19378" w14:textId="77777777" w:rsidR="00855B23" w:rsidRDefault="00000000">
      <w:pPr>
        <w:shd w:val="clear" w:color="auto" w:fill="FFFFFF"/>
        <w:spacing w:after="0" w:line="240" w:lineRule="auto"/>
        <w:rPr>
          <w:rFonts w:ascii="Times New Roman" w:eastAsia="Times New Roman" w:hAnsi="Times New Roman" w:cs="Times New Roman"/>
          <w:color w:val="3F3F3F"/>
          <w:sz w:val="24"/>
          <w:szCs w:val="24"/>
        </w:rPr>
      </w:pPr>
      <w:r>
        <w:rPr>
          <w:rFonts w:ascii="Times New Roman" w:eastAsia="Times New Roman" w:hAnsi="Times New Roman" w:cs="Times New Roman"/>
          <w:noProof/>
          <w:color w:val="3F3F3F"/>
          <w:sz w:val="24"/>
          <w:szCs w:val="24"/>
        </w:rPr>
        <w:drawing>
          <wp:inline distT="0" distB="0" distL="0" distR="0" wp14:anchorId="515ED14A" wp14:editId="3D8FE032">
            <wp:extent cx="5760720" cy="2393315"/>
            <wp:effectExtent l="0" t="0" r="0" b="0"/>
            <wp:docPr id="1828559065" name="image2.png" descr="Selection rules for gerund and to-infinitive syntactic exponents"/>
            <wp:cNvGraphicFramePr/>
            <a:graphic xmlns:a="http://schemas.openxmlformats.org/drawingml/2006/main">
              <a:graphicData uri="http://schemas.openxmlformats.org/drawingml/2006/picture">
                <pic:pic xmlns:pic="http://schemas.openxmlformats.org/drawingml/2006/picture">
                  <pic:nvPicPr>
                    <pic:cNvPr id="0" name="image2.png" descr="Selection rules for gerund and to-infinitive syntactic exponents"/>
                    <pic:cNvPicPr preferRelativeResize="0"/>
                  </pic:nvPicPr>
                  <pic:blipFill>
                    <a:blip r:embed="rId8"/>
                    <a:srcRect/>
                    <a:stretch>
                      <a:fillRect/>
                    </a:stretch>
                  </pic:blipFill>
                  <pic:spPr>
                    <a:xfrm>
                      <a:off x="0" y="0"/>
                      <a:ext cx="5760720" cy="2393315"/>
                    </a:xfrm>
                    <a:prstGeom prst="rect">
                      <a:avLst/>
                    </a:prstGeom>
                    <a:ln/>
                  </pic:spPr>
                </pic:pic>
              </a:graphicData>
            </a:graphic>
          </wp:inline>
        </w:drawing>
      </w:r>
    </w:p>
    <w:p w14:paraId="09A31074" w14:textId="77777777" w:rsidR="00855B23" w:rsidRDefault="00000000">
      <w:pPr>
        <w:shd w:val="clear" w:color="auto" w:fill="FFFFFF"/>
        <w:rPr>
          <w:rFonts w:ascii="Times New Roman" w:eastAsia="Times New Roman" w:hAnsi="Times New Roman" w:cs="Times New Roman"/>
          <w:color w:val="696969"/>
          <w:sz w:val="20"/>
          <w:szCs w:val="20"/>
        </w:rPr>
      </w:pPr>
      <w:r>
        <w:rPr>
          <w:rFonts w:ascii="Times New Roman" w:eastAsia="Times New Roman" w:hAnsi="Times New Roman" w:cs="Times New Roman"/>
          <w:color w:val="696969"/>
          <w:sz w:val="20"/>
          <w:szCs w:val="20"/>
        </w:rPr>
        <w:t>adapted by Duffley, 2004, p.363</w:t>
      </w:r>
    </w:p>
    <w:p w14:paraId="4FBAEBE9"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Repeating what’s already gone before in this post, the notion of 'enjoyment' is generally associated with the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complement, regardless of whether the enjoyment is actual or conditional (with </w:t>
      </w:r>
      <w:r>
        <w:rPr>
          <w:rFonts w:ascii="Times New Roman" w:eastAsia="Times New Roman" w:hAnsi="Times New Roman" w:cs="Times New Roman"/>
          <w:i/>
          <w:color w:val="3F3F3F"/>
          <w:sz w:val="24"/>
          <w:szCs w:val="24"/>
        </w:rPr>
        <w:t>would</w:t>
      </w:r>
      <w:r>
        <w:rPr>
          <w:rFonts w:ascii="Times New Roman" w:eastAsia="Times New Roman" w:hAnsi="Times New Roman" w:cs="Times New Roman"/>
          <w:color w:val="3F3F3F"/>
          <w:sz w:val="24"/>
          <w:szCs w:val="24"/>
        </w:rPr>
        <w:t> and </w:t>
      </w:r>
      <w:r>
        <w:rPr>
          <w:rFonts w:ascii="Times New Roman" w:eastAsia="Times New Roman" w:hAnsi="Times New Roman" w:cs="Times New Roman"/>
          <w:i/>
          <w:color w:val="3F3F3F"/>
          <w:sz w:val="24"/>
          <w:szCs w:val="24"/>
        </w:rPr>
        <w:t>should</w:t>
      </w:r>
      <w:r>
        <w:rPr>
          <w:rFonts w:ascii="Times New Roman" w:eastAsia="Times New Roman" w:hAnsi="Times New Roman" w:cs="Times New Roman"/>
          <w:color w:val="3F3F3F"/>
          <w:sz w:val="24"/>
          <w:szCs w:val="24"/>
        </w:rPr>
        <w:t>). </w:t>
      </w:r>
    </w:p>
    <w:p w14:paraId="50F92535"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01153AC0"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Conversely, as Duffley (2004, p.363) takes up, “if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can be paraphrased by 'want', 'desire', 'intend' or 'go out of one's way', then it is construed exclusively with the to-infinitive.” The desire may either be fulfilled or unfulfilled, as in the construction with </w:t>
      </w:r>
      <w:r>
        <w:rPr>
          <w:rFonts w:ascii="Times New Roman" w:eastAsia="Times New Roman" w:hAnsi="Times New Roman" w:cs="Times New Roman"/>
          <w:i/>
          <w:color w:val="3F3F3F"/>
          <w:sz w:val="24"/>
          <w:szCs w:val="24"/>
        </w:rPr>
        <w:t>would</w:t>
      </w:r>
      <w:r>
        <w:rPr>
          <w:rFonts w:ascii="Times New Roman" w:eastAsia="Times New Roman" w:hAnsi="Times New Roman" w:cs="Times New Roman"/>
          <w:color w:val="3F3F3F"/>
          <w:sz w:val="24"/>
          <w:szCs w:val="24"/>
        </w:rPr>
        <w:t>/</w:t>
      </w:r>
      <w:r>
        <w:rPr>
          <w:rFonts w:ascii="Times New Roman" w:eastAsia="Times New Roman" w:hAnsi="Times New Roman" w:cs="Times New Roman"/>
          <w:i/>
          <w:color w:val="3F3F3F"/>
          <w:sz w:val="24"/>
          <w:szCs w:val="24"/>
        </w:rPr>
        <w:t>should</w:t>
      </w:r>
      <w:r>
        <w:rPr>
          <w:rFonts w:ascii="Times New Roman" w:eastAsia="Times New Roman" w:hAnsi="Times New Roman" w:cs="Times New Roman"/>
          <w:color w:val="3F3F3F"/>
          <w:sz w:val="24"/>
          <w:szCs w:val="24"/>
        </w:rPr>
        <w:t>.</w:t>
      </w:r>
    </w:p>
    <w:p w14:paraId="267B78B8"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According to Duffley (2004, p.364), the only exception to Bladon’s rules in the table above is the case of utterances in which stressed </w:t>
      </w:r>
      <w:r>
        <w:rPr>
          <w:rFonts w:ascii="Times New Roman" w:eastAsia="Times New Roman" w:hAnsi="Times New Roman" w:cs="Times New Roman"/>
          <w:i/>
          <w:color w:val="3F3F3F"/>
          <w:sz w:val="24"/>
          <w:szCs w:val="24"/>
        </w:rPr>
        <w:t>like</w:t>
      </w:r>
      <w:r>
        <w:rPr>
          <w:rFonts w:ascii="Times New Roman" w:eastAsia="Times New Roman" w:hAnsi="Times New Roman" w:cs="Times New Roman"/>
          <w:color w:val="3F3F3F"/>
          <w:sz w:val="24"/>
          <w:szCs w:val="24"/>
        </w:rPr>
        <w:t> is followed by the to-infinitive, such as the example below:</w:t>
      </w:r>
    </w:p>
    <w:p w14:paraId="69D301AF"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He </w:t>
      </w:r>
      <w:r>
        <w:rPr>
          <w:rFonts w:ascii="Times New Roman" w:eastAsia="Times New Roman" w:hAnsi="Times New Roman" w:cs="Times New Roman"/>
          <w:b/>
          <w:i/>
          <w:color w:val="000000"/>
          <w:sz w:val="24"/>
          <w:szCs w:val="24"/>
        </w:rPr>
        <w:t>likes to go</w:t>
      </w:r>
      <w:r>
        <w:rPr>
          <w:rFonts w:ascii="Times New Roman" w:eastAsia="Times New Roman" w:hAnsi="Times New Roman" w:cs="Times New Roman"/>
          <w:i/>
          <w:color w:val="3F3F3F"/>
          <w:sz w:val="24"/>
          <w:szCs w:val="24"/>
        </w:rPr>
        <w:t> home by car</w:t>
      </w:r>
      <w:r>
        <w:rPr>
          <w:rFonts w:ascii="Times New Roman" w:eastAsia="Times New Roman" w:hAnsi="Times New Roman" w:cs="Times New Roman"/>
          <w:color w:val="3F3F3F"/>
          <w:sz w:val="24"/>
          <w:szCs w:val="24"/>
        </w:rPr>
        <w:t> (but his parents can't often manage to fetch him) him).</w:t>
      </w:r>
    </w:p>
    <w:p w14:paraId="5EF48FEB"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The enjoyment of the event is implied. Nevertheless, it only occurs from time to time.</w:t>
      </w:r>
    </w:p>
    <w:p w14:paraId="67421DC2" w14:textId="77777777" w:rsidR="00855B23" w:rsidRDefault="00000000">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color w:val="404040"/>
          <w:sz w:val="24"/>
          <w:szCs w:val="24"/>
        </w:rPr>
        <w:br/>
      </w:r>
      <w:r>
        <w:rPr>
          <w:rFonts w:ascii="Times New Roman" w:eastAsia="Times New Roman" w:hAnsi="Times New Roman" w:cs="Times New Roman"/>
          <w:b/>
          <w:color w:val="000000"/>
          <w:sz w:val="24"/>
          <w:szCs w:val="24"/>
        </w:rPr>
        <w:t>The feeling of satisfaction in the form of pleasure</w:t>
      </w:r>
    </w:p>
    <w:p w14:paraId="6E7C9130"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3BDAC5FD"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We’ve already established that the same-time ‘like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construction allows for the pleasure felt (simultaneously) by the subject. Nevertheless, Egan (2008, p.166) shares plenty of example sentences with the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which denote satisfaction which is of the pleasure and enjoyment variety:</w:t>
      </w:r>
    </w:p>
    <w:p w14:paraId="52EA55F2"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lastRenderedPageBreak/>
        <w:t>Choose long-lasting and highly water resistant products if they </w:t>
      </w:r>
      <w:r>
        <w:rPr>
          <w:rFonts w:ascii="Times New Roman" w:eastAsia="Times New Roman" w:hAnsi="Times New Roman" w:cs="Times New Roman"/>
          <w:b/>
          <w:i/>
          <w:color w:val="000000"/>
          <w:sz w:val="24"/>
          <w:szCs w:val="24"/>
        </w:rPr>
        <w:t>like to play</w:t>
      </w:r>
      <w:r>
        <w:rPr>
          <w:rFonts w:ascii="Times New Roman" w:eastAsia="Times New Roman" w:hAnsi="Times New Roman" w:cs="Times New Roman"/>
          <w:i/>
          <w:color w:val="3F3F3F"/>
          <w:sz w:val="24"/>
          <w:szCs w:val="24"/>
        </w:rPr>
        <w:t> in or around water</w:t>
      </w:r>
    </w:p>
    <w:p w14:paraId="02F0195B"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‘With Joan Armatrading, we did 2-3000 seaters, and that just worked fantastically, especially as I </w:t>
      </w:r>
      <w:r>
        <w:rPr>
          <w:rFonts w:ascii="Times New Roman" w:eastAsia="Times New Roman" w:hAnsi="Times New Roman" w:cs="Times New Roman"/>
          <w:b/>
          <w:i/>
          <w:color w:val="000000"/>
          <w:sz w:val="24"/>
          <w:szCs w:val="24"/>
        </w:rPr>
        <w:t>like to communicate</w:t>
      </w:r>
      <w:r>
        <w:rPr>
          <w:rFonts w:ascii="Times New Roman" w:eastAsia="Times New Roman" w:hAnsi="Times New Roman" w:cs="Times New Roman"/>
          <w:i/>
          <w:color w:val="3F3F3F"/>
          <w:sz w:val="24"/>
          <w:szCs w:val="24"/>
        </w:rPr>
        <w:t> with the audience, and people these days aren’t used to that'</w:t>
      </w:r>
    </w:p>
    <w:p w14:paraId="500975E0"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w:t>
      </w:r>
      <w:r>
        <w:rPr>
          <w:rFonts w:ascii="Times New Roman" w:eastAsia="Times New Roman" w:hAnsi="Times New Roman" w:cs="Times New Roman"/>
          <w:i/>
          <w:color w:val="3F3F3F"/>
          <w:sz w:val="24"/>
          <w:szCs w:val="24"/>
        </w:rPr>
        <w:t>Just as well you’re away before father comes in; he </w:t>
      </w:r>
      <w:r>
        <w:rPr>
          <w:rFonts w:ascii="Times New Roman" w:eastAsia="Times New Roman" w:hAnsi="Times New Roman" w:cs="Times New Roman"/>
          <w:b/>
          <w:i/>
          <w:color w:val="000000"/>
          <w:sz w:val="24"/>
          <w:szCs w:val="24"/>
        </w:rPr>
        <w:t>likes to gossip</w:t>
      </w:r>
      <w:r>
        <w:rPr>
          <w:rFonts w:ascii="Times New Roman" w:eastAsia="Times New Roman" w:hAnsi="Times New Roman" w:cs="Times New Roman"/>
          <w:color w:val="3F3F3F"/>
          <w:sz w:val="24"/>
          <w:szCs w:val="24"/>
        </w:rPr>
        <w:t>.’</w:t>
      </w:r>
    </w:p>
    <w:p w14:paraId="15FBE69A"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‘I l</w:t>
      </w:r>
      <w:r>
        <w:rPr>
          <w:rFonts w:ascii="Times New Roman" w:eastAsia="Times New Roman" w:hAnsi="Times New Roman" w:cs="Times New Roman"/>
          <w:b/>
          <w:i/>
          <w:color w:val="000000"/>
          <w:sz w:val="24"/>
          <w:szCs w:val="24"/>
        </w:rPr>
        <w:t>ike to go</w:t>
      </w:r>
      <w:r>
        <w:rPr>
          <w:rFonts w:ascii="Times New Roman" w:eastAsia="Times New Roman" w:hAnsi="Times New Roman" w:cs="Times New Roman"/>
          <w:i/>
          <w:color w:val="3F3F3F"/>
          <w:sz w:val="24"/>
          <w:szCs w:val="24"/>
        </w:rPr>
        <w:t> round the park in Bognor and photograph squirrels’</w:t>
      </w:r>
    </w:p>
    <w:p w14:paraId="7BCA4C5A"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In the four examples above, we may conclude that the subjects also ‘like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For instance, if one </w:t>
      </w:r>
      <w:r>
        <w:rPr>
          <w:rFonts w:ascii="Times New Roman" w:eastAsia="Times New Roman" w:hAnsi="Times New Roman" w:cs="Times New Roman"/>
          <w:i/>
          <w:color w:val="3F3F3F"/>
          <w:sz w:val="24"/>
          <w:szCs w:val="24"/>
        </w:rPr>
        <w:t>likes to gossip</w:t>
      </w:r>
      <w:r>
        <w:rPr>
          <w:rFonts w:ascii="Times New Roman" w:eastAsia="Times New Roman" w:hAnsi="Times New Roman" w:cs="Times New Roman"/>
          <w:color w:val="3F3F3F"/>
          <w:sz w:val="24"/>
          <w:szCs w:val="24"/>
        </w:rPr>
        <w:t>, one also presumably </w:t>
      </w:r>
      <w:r>
        <w:rPr>
          <w:rFonts w:ascii="Times New Roman" w:eastAsia="Times New Roman" w:hAnsi="Times New Roman" w:cs="Times New Roman"/>
          <w:i/>
          <w:color w:val="3F3F3F"/>
          <w:sz w:val="24"/>
          <w:szCs w:val="24"/>
        </w:rPr>
        <w:t>likes gossiping</w:t>
      </w:r>
      <w:r>
        <w:rPr>
          <w:rFonts w:ascii="Times New Roman" w:eastAsia="Times New Roman" w:hAnsi="Times New Roman" w:cs="Times New Roman"/>
          <w:color w:val="3F3F3F"/>
          <w:sz w:val="24"/>
          <w:szCs w:val="24"/>
        </w:rPr>
        <w:t>.</w:t>
      </w:r>
    </w:p>
    <w:p w14:paraId="1AE0118F"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210E4DFA"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Still, the fact remains that a ‘like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clause does not necessarily carry the same meaning as a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clause. Returning to the example above regarding taking pictures of squirrels in the park in Bognor, one may infer from the to-infinitive that the subject chooses to do this activity over other activities whenever the opportunity arises. The subject derives a measure of satisfaction in the form of pleasure from the activity. </w:t>
      </w:r>
    </w:p>
    <w:p w14:paraId="3CD23E0C"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68A31E1C"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With ‘</w:t>
      </w:r>
      <w:r>
        <w:rPr>
          <w:rFonts w:ascii="Times New Roman" w:eastAsia="Times New Roman" w:hAnsi="Times New Roman" w:cs="Times New Roman"/>
          <w:i/>
          <w:color w:val="3F3F3F"/>
          <w:sz w:val="24"/>
          <w:szCs w:val="24"/>
        </w:rPr>
        <w:t>I </w:t>
      </w:r>
      <w:r>
        <w:rPr>
          <w:rFonts w:ascii="Times New Roman" w:eastAsia="Times New Roman" w:hAnsi="Times New Roman" w:cs="Times New Roman"/>
          <w:b/>
          <w:i/>
          <w:color w:val="000000"/>
          <w:sz w:val="24"/>
          <w:szCs w:val="24"/>
        </w:rPr>
        <w:t>like going</w:t>
      </w:r>
      <w:r>
        <w:rPr>
          <w:rFonts w:ascii="Times New Roman" w:eastAsia="Times New Roman" w:hAnsi="Times New Roman" w:cs="Times New Roman"/>
          <w:i/>
          <w:color w:val="3F3F3F"/>
          <w:sz w:val="24"/>
          <w:szCs w:val="24"/>
        </w:rPr>
        <w:t> round in the park in Bognor photographing squirrels</w:t>
      </w:r>
      <w:r>
        <w:rPr>
          <w:rFonts w:ascii="Times New Roman" w:eastAsia="Times New Roman" w:hAnsi="Times New Roman" w:cs="Times New Roman"/>
          <w:color w:val="3F3F3F"/>
          <w:sz w:val="24"/>
          <w:szCs w:val="24"/>
        </w:rPr>
        <w:t>’, the emphasis is purely on the pleasure gained from the activity. The speaker does not hint at preferences or pay heed to other alternative activities. Moreover, the speaker is seemingly not encumbered by time-related restrictions (in the form of adverbial clauses) when ‘like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is involved.</w:t>
      </w:r>
    </w:p>
    <w:p w14:paraId="54C70A83"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It’s worth pointing out that the matter of like to or like -ing may be unimportant to the speaker and addressee. The meaning of the two utterances (</w:t>
      </w:r>
      <w:r>
        <w:rPr>
          <w:rFonts w:ascii="Times New Roman" w:eastAsia="Times New Roman" w:hAnsi="Times New Roman" w:cs="Times New Roman"/>
          <w:b/>
          <w:i/>
          <w:color w:val="000000"/>
          <w:sz w:val="24"/>
          <w:szCs w:val="24"/>
        </w:rPr>
        <w:t>like going </w:t>
      </w:r>
      <w:r>
        <w:rPr>
          <w:rFonts w:ascii="Times New Roman" w:eastAsia="Times New Roman" w:hAnsi="Times New Roman" w:cs="Times New Roman"/>
          <w:i/>
          <w:color w:val="3F3F3F"/>
          <w:sz w:val="24"/>
          <w:szCs w:val="24"/>
        </w:rPr>
        <w:t>round in the park</w:t>
      </w:r>
      <w:r>
        <w:rPr>
          <w:rFonts w:ascii="Times New Roman" w:eastAsia="Times New Roman" w:hAnsi="Times New Roman" w:cs="Times New Roman"/>
          <w:color w:val="3F3F3F"/>
          <w:sz w:val="24"/>
          <w:szCs w:val="24"/>
        </w:rPr>
        <w:t>) and (</w:t>
      </w:r>
      <w:r>
        <w:rPr>
          <w:rFonts w:ascii="Times New Roman" w:eastAsia="Times New Roman" w:hAnsi="Times New Roman" w:cs="Times New Roman"/>
          <w:b/>
          <w:i/>
          <w:color w:val="000000"/>
          <w:sz w:val="24"/>
          <w:szCs w:val="24"/>
        </w:rPr>
        <w:t>like to go</w:t>
      </w:r>
      <w:r>
        <w:rPr>
          <w:rFonts w:ascii="Times New Roman" w:eastAsia="Times New Roman" w:hAnsi="Times New Roman" w:cs="Times New Roman"/>
          <w:i/>
          <w:color w:val="3F3F3F"/>
          <w:sz w:val="24"/>
          <w:szCs w:val="24"/>
        </w:rPr>
        <w:t> round the park</w:t>
      </w:r>
      <w:r>
        <w:rPr>
          <w:rFonts w:ascii="Times New Roman" w:eastAsia="Times New Roman" w:hAnsi="Times New Roman" w:cs="Times New Roman"/>
          <w:color w:val="3F3F3F"/>
          <w:sz w:val="24"/>
          <w:szCs w:val="24"/>
        </w:rPr>
        <w:t>) roughly equates to ‘I photograph squirrels in the park. I like that.’ (Egan, 2008, p.167). As Egan (ibid.) states:</w:t>
      </w:r>
    </w:p>
    <w:p w14:paraId="72EB2478"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If achieving a mutual understanding of these components is the main concern of the discourse participants, then it may matter little to them which of the two alternatives the speaker chooses</w:t>
      </w:r>
      <w:r>
        <w:rPr>
          <w:rFonts w:ascii="Times New Roman" w:eastAsia="Times New Roman" w:hAnsi="Times New Roman" w:cs="Times New Roman"/>
          <w:color w:val="3F3F3F"/>
          <w:sz w:val="24"/>
          <w:szCs w:val="24"/>
        </w:rPr>
        <w:t>.</w:t>
      </w:r>
    </w:p>
    <w:p w14:paraId="41E30A7A"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3E15BFF7"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There are also activities which may give us a feeling of well-being and a sense of accomplishment. However, these activities could never be described as pleasurable. This is where ‘like </w:t>
      </w:r>
      <w:r>
        <w:rPr>
          <w:rFonts w:ascii="Times New Roman" w:eastAsia="Times New Roman" w:hAnsi="Times New Roman" w:cs="Times New Roman"/>
          <w:i/>
          <w:color w:val="3F3F3F"/>
          <w:sz w:val="24"/>
          <w:szCs w:val="24"/>
        </w:rPr>
        <w:t>to-infinitive</w:t>
      </w:r>
      <w:r>
        <w:rPr>
          <w:rFonts w:ascii="Times New Roman" w:eastAsia="Times New Roman" w:hAnsi="Times New Roman" w:cs="Times New Roman"/>
          <w:color w:val="3F3F3F"/>
          <w:sz w:val="24"/>
          <w:szCs w:val="24"/>
        </w:rPr>
        <w:t>’ clauses come into play, as in this example (in Egan, 2008, p.167):</w:t>
      </w:r>
    </w:p>
    <w:p w14:paraId="637231CF"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Their parents </w:t>
      </w:r>
      <w:r>
        <w:rPr>
          <w:rFonts w:ascii="Times New Roman" w:eastAsia="Times New Roman" w:hAnsi="Times New Roman" w:cs="Times New Roman"/>
          <w:b/>
          <w:i/>
          <w:color w:val="000000"/>
          <w:sz w:val="24"/>
          <w:szCs w:val="24"/>
        </w:rPr>
        <w:t>like to leave</w:t>
      </w:r>
      <w:r>
        <w:rPr>
          <w:rFonts w:ascii="Times New Roman" w:eastAsia="Times New Roman" w:hAnsi="Times New Roman" w:cs="Times New Roman"/>
          <w:i/>
          <w:color w:val="3F3F3F"/>
          <w:sz w:val="24"/>
          <w:szCs w:val="24"/>
        </w:rPr>
        <w:t> toys by the graves, but on several occasions they’ve returned the next day to find them missing</w:t>
      </w:r>
      <w:r>
        <w:rPr>
          <w:rFonts w:ascii="Times New Roman" w:eastAsia="Times New Roman" w:hAnsi="Times New Roman" w:cs="Times New Roman"/>
          <w:color w:val="3F3F3F"/>
          <w:sz w:val="24"/>
          <w:szCs w:val="24"/>
        </w:rPr>
        <w:t>.</w:t>
      </w:r>
    </w:p>
    <w:p w14:paraId="2EEDAC31"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6EF38D0B"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It’s hard to imagine the activity of parents leaving toys by their, or other, children’s graves as pleasurable. </w:t>
      </w:r>
    </w:p>
    <w:p w14:paraId="1076D683"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Egan (2008, p.167) points out that: </w:t>
      </w:r>
    </w:p>
    <w:p w14:paraId="3A100847" w14:textId="77777777" w:rsidR="00855B23" w:rsidRDefault="00000000">
      <w:pPr>
        <w:shd w:val="clear" w:color="auto" w:fill="FFFFFF"/>
        <w:spacing w:line="240" w:lineRule="auto"/>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While there are many forms of satisfaction that do not necessarily imply pleasure, the opposite is not the case. The feeling of pleasure normally affords us satisfaction, and ‘like -ing’ clauses normally imply their ‘like to infinitive’ counterparts</w:t>
      </w:r>
      <w:r>
        <w:rPr>
          <w:rFonts w:ascii="Times New Roman" w:eastAsia="Times New Roman" w:hAnsi="Times New Roman" w:cs="Times New Roman"/>
          <w:color w:val="3F3F3F"/>
          <w:sz w:val="24"/>
          <w:szCs w:val="24"/>
        </w:rPr>
        <w:t> …</w:t>
      </w:r>
    </w:p>
    <w:p w14:paraId="141A5779"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The following situation certainly characterises Egan’s (2008, p.168) claim:</w:t>
      </w:r>
    </w:p>
    <w:p w14:paraId="519A81F7"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i/>
          <w:color w:val="3F3F3F"/>
          <w:sz w:val="24"/>
          <w:szCs w:val="24"/>
        </w:rPr>
        <w:t>I wish I had some bread - I </w:t>
      </w:r>
      <w:r>
        <w:rPr>
          <w:rFonts w:ascii="Times New Roman" w:eastAsia="Times New Roman" w:hAnsi="Times New Roman" w:cs="Times New Roman"/>
          <w:b/>
          <w:i/>
          <w:color w:val="000000"/>
          <w:sz w:val="24"/>
          <w:szCs w:val="24"/>
        </w:rPr>
        <w:t>like feeding</w:t>
      </w:r>
      <w:r>
        <w:rPr>
          <w:rFonts w:ascii="Times New Roman" w:eastAsia="Times New Roman" w:hAnsi="Times New Roman" w:cs="Times New Roman"/>
          <w:i/>
          <w:color w:val="3F3F3F"/>
          <w:sz w:val="24"/>
          <w:szCs w:val="24"/>
        </w:rPr>
        <w:t> the ducks</w:t>
      </w:r>
      <w:r>
        <w:rPr>
          <w:rFonts w:ascii="Times New Roman" w:eastAsia="Times New Roman" w:hAnsi="Times New Roman" w:cs="Times New Roman"/>
          <w:color w:val="3F3F3F"/>
          <w:sz w:val="24"/>
          <w:szCs w:val="24"/>
        </w:rPr>
        <w:t>.</w:t>
      </w:r>
    </w:p>
    <w:p w14:paraId="2F78C5BC" w14:textId="77777777" w:rsidR="00855B23" w:rsidRDefault="00855B23">
      <w:pPr>
        <w:shd w:val="clear" w:color="auto" w:fill="FFFFFF"/>
        <w:spacing w:after="0"/>
        <w:rPr>
          <w:rFonts w:ascii="Times New Roman" w:eastAsia="Times New Roman" w:hAnsi="Times New Roman" w:cs="Times New Roman"/>
          <w:b/>
          <w:color w:val="000000"/>
          <w:sz w:val="24"/>
          <w:szCs w:val="24"/>
        </w:rPr>
      </w:pPr>
    </w:p>
    <w:p w14:paraId="47469171" w14:textId="77777777" w:rsidR="00855B23" w:rsidRDefault="00000000">
      <w:pPr>
        <w:shd w:val="clear" w:color="auto" w:fill="FFFFFF"/>
        <w:spacing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Final thoughts</w:t>
      </w:r>
    </w:p>
    <w:p w14:paraId="79467536" w14:textId="77777777" w:rsidR="00855B23" w:rsidRDefault="00855B23">
      <w:pPr>
        <w:shd w:val="clear" w:color="auto" w:fill="FFFFFF"/>
        <w:spacing w:after="0"/>
        <w:rPr>
          <w:rFonts w:ascii="Times New Roman" w:eastAsia="Times New Roman" w:hAnsi="Times New Roman" w:cs="Times New Roman"/>
          <w:color w:val="404040"/>
          <w:sz w:val="24"/>
          <w:szCs w:val="24"/>
        </w:rPr>
      </w:pPr>
    </w:p>
    <w:p w14:paraId="1F0B9EAB" w14:textId="77777777" w:rsidR="00855B23" w:rsidRDefault="00000000">
      <w:pPr>
        <w:shd w:val="clear" w:color="auto" w:fill="FFFFFF"/>
        <w:spacing w:after="30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lastRenderedPageBreak/>
        <w:t>Parrott (2000: 170) points out that it's hard to make a choice between a to-infinitive or gerund because the “rules which guide us may seem arbitrary to learners.”</w:t>
      </w:r>
    </w:p>
    <w:p w14:paraId="1BD2B7F3"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Even though, as Parrott (ibid.) claims, serious misunderstandings seldom result from mistakes in choosing between infinitive and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forms, I still do not believe the discussion surrounding like to or like ing is a case of </w:t>
      </w:r>
      <w:hyperlink r:id="rId9">
        <w:r>
          <w:rPr>
            <w:rFonts w:ascii="Times New Roman" w:eastAsia="Times New Roman" w:hAnsi="Times New Roman" w:cs="Times New Roman"/>
            <w:color w:val="8F1841"/>
            <w:sz w:val="24"/>
            <w:szCs w:val="24"/>
            <w:u w:val="single"/>
          </w:rPr>
          <w:t>grammar nonsense</w:t>
        </w:r>
      </w:hyperlink>
      <w:r>
        <w:rPr>
          <w:rFonts w:ascii="Times New Roman" w:eastAsia="Times New Roman" w:hAnsi="Times New Roman" w:cs="Times New Roman"/>
          <w:color w:val="3F3F3F"/>
          <w:sz w:val="24"/>
          <w:szCs w:val="24"/>
        </w:rPr>
        <w:t>. This is because the emphasis of one’s utterance can change significantly in certain contexts depending on whether one uses a ‘like</w:t>
      </w:r>
      <w:r>
        <w:rPr>
          <w:rFonts w:ascii="Times New Roman" w:eastAsia="Times New Roman" w:hAnsi="Times New Roman" w:cs="Times New Roman"/>
          <w:i/>
          <w:color w:val="3F3F3F"/>
          <w:sz w:val="24"/>
          <w:szCs w:val="24"/>
        </w:rPr>
        <w:t> to-infinitive</w:t>
      </w:r>
      <w:r>
        <w:rPr>
          <w:rFonts w:ascii="Times New Roman" w:eastAsia="Times New Roman" w:hAnsi="Times New Roman" w:cs="Times New Roman"/>
          <w:color w:val="3F3F3F"/>
          <w:sz w:val="24"/>
          <w:szCs w:val="24"/>
        </w:rPr>
        <w:t>’ or ‘like </w:t>
      </w:r>
      <w:r>
        <w:rPr>
          <w:rFonts w:ascii="Times New Roman" w:eastAsia="Times New Roman" w:hAnsi="Times New Roman" w:cs="Times New Roman"/>
          <w:i/>
          <w:color w:val="3F3F3F"/>
          <w:sz w:val="24"/>
          <w:szCs w:val="24"/>
        </w:rPr>
        <w:t>-ing</w:t>
      </w:r>
      <w:r>
        <w:rPr>
          <w:rFonts w:ascii="Times New Roman" w:eastAsia="Times New Roman" w:hAnsi="Times New Roman" w:cs="Times New Roman"/>
          <w:color w:val="3F3F3F"/>
          <w:sz w:val="24"/>
          <w:szCs w:val="24"/>
        </w:rPr>
        <w:t>’ construction.</w:t>
      </w:r>
    </w:p>
    <w:p w14:paraId="7DE7B718" w14:textId="77777777" w:rsidR="00855B23" w:rsidRDefault="00855B23">
      <w:pPr>
        <w:shd w:val="clear" w:color="auto" w:fill="FFFFFF"/>
        <w:spacing w:after="0"/>
        <w:rPr>
          <w:rFonts w:ascii="Times New Roman" w:eastAsia="Times New Roman" w:hAnsi="Times New Roman" w:cs="Times New Roman"/>
          <w:color w:val="3F3F3F"/>
          <w:sz w:val="24"/>
          <w:szCs w:val="24"/>
        </w:rPr>
      </w:pPr>
    </w:p>
    <w:p w14:paraId="3D682169" w14:textId="77777777" w:rsidR="00855B23" w:rsidRDefault="00000000">
      <w:pPr>
        <w:shd w:val="clear" w:color="auto" w:fill="FFFFFF"/>
        <w:spacing w:after="0"/>
        <w:rPr>
          <w:rFonts w:ascii="Times New Roman" w:eastAsia="Times New Roman" w:hAnsi="Times New Roman" w:cs="Times New Roman"/>
          <w:color w:val="404040"/>
          <w:sz w:val="24"/>
          <w:szCs w:val="24"/>
        </w:rPr>
      </w:pPr>
      <w:r>
        <w:rPr>
          <w:rFonts w:ascii="Times New Roman" w:eastAsia="Times New Roman" w:hAnsi="Times New Roman" w:cs="Times New Roman"/>
          <w:b/>
          <w:color w:val="000000"/>
          <w:sz w:val="24"/>
          <w:szCs w:val="24"/>
        </w:rPr>
        <w:t>References</w:t>
      </w:r>
    </w:p>
    <w:p w14:paraId="5ED67F33"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Bladon, R. A. W. (1968), ‘Selecting the “to” or “-ing” nominal after “like, love, hate, dislike” and “prefer”’, </w:t>
      </w:r>
      <w:r>
        <w:rPr>
          <w:rFonts w:ascii="Times New Roman" w:eastAsia="Times New Roman" w:hAnsi="Times New Roman" w:cs="Times New Roman"/>
          <w:i/>
          <w:color w:val="3F3F3F"/>
          <w:sz w:val="24"/>
          <w:szCs w:val="24"/>
        </w:rPr>
        <w:t>English Studies</w:t>
      </w:r>
      <w:r>
        <w:rPr>
          <w:rFonts w:ascii="Times New Roman" w:eastAsia="Times New Roman" w:hAnsi="Times New Roman" w:cs="Times New Roman"/>
          <w:color w:val="3F3F3F"/>
          <w:sz w:val="24"/>
          <w:szCs w:val="24"/>
        </w:rPr>
        <w:t>, 49: 203-214.</w:t>
      </w:r>
    </w:p>
    <w:p w14:paraId="65DAC15C"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Duffley, P.J. (2004) Verbs of Liking with the Infinitive and the Gerund, </w:t>
      </w:r>
      <w:r>
        <w:rPr>
          <w:rFonts w:ascii="Times New Roman" w:eastAsia="Times New Roman" w:hAnsi="Times New Roman" w:cs="Times New Roman"/>
          <w:i/>
          <w:color w:val="3F3F3F"/>
          <w:sz w:val="24"/>
          <w:szCs w:val="24"/>
        </w:rPr>
        <w:t>English Studies</w:t>
      </w:r>
      <w:r>
        <w:rPr>
          <w:rFonts w:ascii="Times New Roman" w:eastAsia="Times New Roman" w:hAnsi="Times New Roman" w:cs="Times New Roman"/>
          <w:color w:val="3F3F3F"/>
          <w:sz w:val="24"/>
          <w:szCs w:val="24"/>
        </w:rPr>
        <w:t>, 85:4, 358-380 </w:t>
      </w:r>
    </w:p>
    <w:p w14:paraId="1438CD9A"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Egan, T. (2008). </w:t>
      </w:r>
      <w:r>
        <w:rPr>
          <w:rFonts w:ascii="Times New Roman" w:eastAsia="Times New Roman" w:hAnsi="Times New Roman" w:cs="Times New Roman"/>
          <w:i/>
          <w:color w:val="3F3F3F"/>
          <w:sz w:val="24"/>
          <w:szCs w:val="24"/>
        </w:rPr>
        <w:t>Non-finite Complementation: A usage-based study of infinitive and -ing clauses in English</w:t>
      </w:r>
      <w:r>
        <w:rPr>
          <w:rFonts w:ascii="Times New Roman" w:eastAsia="Times New Roman" w:hAnsi="Times New Roman" w:cs="Times New Roman"/>
          <w:color w:val="3F3F3F"/>
          <w:sz w:val="24"/>
          <w:szCs w:val="24"/>
        </w:rPr>
        <w:t>, Amsterdam and New York: Rodopi</w:t>
      </w:r>
    </w:p>
    <w:p w14:paraId="623444FD"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Parrott, M. (2000). </w:t>
      </w:r>
      <w:r>
        <w:rPr>
          <w:rFonts w:ascii="Times New Roman" w:eastAsia="Times New Roman" w:hAnsi="Times New Roman" w:cs="Times New Roman"/>
          <w:i/>
          <w:color w:val="3F3F3F"/>
          <w:sz w:val="24"/>
          <w:szCs w:val="24"/>
        </w:rPr>
        <w:t>Grammar for English Language Teachers</w:t>
      </w:r>
      <w:r>
        <w:rPr>
          <w:rFonts w:ascii="Times New Roman" w:eastAsia="Times New Roman" w:hAnsi="Times New Roman" w:cs="Times New Roman"/>
          <w:color w:val="3F3F3F"/>
          <w:sz w:val="24"/>
          <w:szCs w:val="24"/>
        </w:rPr>
        <w:t>, Second Edition, Cambridge: Cambridge University Press</w:t>
      </w:r>
    </w:p>
    <w:p w14:paraId="0A479905" w14:textId="77777777" w:rsidR="00855B23" w:rsidRDefault="00000000">
      <w:pPr>
        <w:shd w:val="clear" w:color="auto" w:fill="FFFFFF"/>
        <w:spacing w:after="0"/>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Wierzbicka, A. (1988), </w:t>
      </w:r>
      <w:r>
        <w:rPr>
          <w:rFonts w:ascii="Times New Roman" w:eastAsia="Times New Roman" w:hAnsi="Times New Roman" w:cs="Times New Roman"/>
          <w:i/>
          <w:color w:val="3F3F3F"/>
          <w:sz w:val="24"/>
          <w:szCs w:val="24"/>
        </w:rPr>
        <w:t>The semantics of grammar</w:t>
      </w:r>
      <w:r>
        <w:rPr>
          <w:rFonts w:ascii="Times New Roman" w:eastAsia="Times New Roman" w:hAnsi="Times New Roman" w:cs="Times New Roman"/>
          <w:color w:val="3F3F3F"/>
          <w:sz w:val="24"/>
          <w:szCs w:val="24"/>
        </w:rPr>
        <w:t>. Amsterdam: John Benjamins.</w:t>
      </w:r>
    </w:p>
    <w:p w14:paraId="77C61900" w14:textId="77777777" w:rsidR="00855B23" w:rsidRDefault="00000000">
      <w:pPr>
        <w:shd w:val="clear" w:color="auto" w:fill="FFFFFF"/>
        <w:rPr>
          <w:rFonts w:ascii="Times New Roman" w:eastAsia="Times New Roman" w:hAnsi="Times New Roman" w:cs="Times New Roman"/>
          <w:color w:val="3F3F3F"/>
          <w:sz w:val="24"/>
          <w:szCs w:val="24"/>
        </w:rPr>
      </w:pPr>
      <w:r>
        <w:rPr>
          <w:rFonts w:ascii="Times New Roman" w:eastAsia="Times New Roman" w:hAnsi="Times New Roman" w:cs="Times New Roman"/>
          <w:color w:val="3F3F3F"/>
          <w:sz w:val="24"/>
          <w:szCs w:val="24"/>
        </w:rPr>
        <w:t>Wood F.T. (1956), ‘Gerund versus infinitive’, </w:t>
      </w:r>
      <w:r>
        <w:rPr>
          <w:rFonts w:ascii="Times New Roman" w:eastAsia="Times New Roman" w:hAnsi="Times New Roman" w:cs="Times New Roman"/>
          <w:i/>
          <w:color w:val="3F3F3F"/>
          <w:sz w:val="24"/>
          <w:szCs w:val="24"/>
        </w:rPr>
        <w:t>English Language Teaching</w:t>
      </w:r>
      <w:r>
        <w:rPr>
          <w:rFonts w:ascii="Times New Roman" w:eastAsia="Times New Roman" w:hAnsi="Times New Roman" w:cs="Times New Roman"/>
          <w:color w:val="3F3F3F"/>
          <w:sz w:val="24"/>
          <w:szCs w:val="24"/>
        </w:rPr>
        <w:t>, 11:11-16.</w:t>
      </w:r>
    </w:p>
    <w:p w14:paraId="05B9FA15" w14:textId="77777777" w:rsidR="00855B23" w:rsidRDefault="00855B23">
      <w:pPr>
        <w:shd w:val="clear" w:color="auto" w:fill="FFFFFF"/>
        <w:rPr>
          <w:rFonts w:ascii="Times New Roman" w:eastAsia="Times New Roman" w:hAnsi="Times New Roman" w:cs="Times New Roman"/>
          <w:color w:val="3F3F3F"/>
          <w:sz w:val="24"/>
          <w:szCs w:val="24"/>
        </w:rPr>
      </w:pPr>
    </w:p>
    <w:p w14:paraId="4ABBAC74" w14:textId="77777777" w:rsidR="00855B23"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1CD3BA28" w14:textId="77777777" w:rsidR="00855B23" w:rsidRDefault="00855B23">
      <w:pPr>
        <w:shd w:val="clear" w:color="auto" w:fill="FFFFFF"/>
        <w:rPr>
          <w:rFonts w:ascii="Times New Roman" w:eastAsia="Times New Roman" w:hAnsi="Times New Roman" w:cs="Times New Roman"/>
          <w:color w:val="3F3F3F"/>
          <w:sz w:val="24"/>
          <w:szCs w:val="24"/>
        </w:rPr>
      </w:pPr>
    </w:p>
    <w:p w14:paraId="0199461C" w14:textId="77777777" w:rsidR="00855B23" w:rsidRDefault="00855B23">
      <w:pPr>
        <w:rPr>
          <w:rFonts w:ascii="Times New Roman" w:eastAsia="Times New Roman" w:hAnsi="Times New Roman" w:cs="Times New Roman"/>
          <w:sz w:val="24"/>
          <w:szCs w:val="24"/>
        </w:rPr>
      </w:pPr>
    </w:p>
    <w:sectPr w:rsidR="00855B23">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B23"/>
    <w:rsid w:val="00855B23"/>
    <w:rsid w:val="009643DA"/>
    <w:rsid w:val="00AB0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66EE8"/>
  <w15:docId w15:val="{339C597E-4C0B-46CF-A122-1EF2C5266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94E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semiHidden/>
    <w:unhideWhenUsed/>
    <w:qFormat/>
    <w:rsid w:val="00F94E4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semiHidden/>
    <w:unhideWhenUsed/>
    <w:qFormat/>
    <w:rsid w:val="00F94E4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94E4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94E48"/>
    <w:rPr>
      <w:rFonts w:ascii="Times New Roman" w:eastAsia="Times New Roman" w:hAnsi="Times New Roman" w:cs="Times New Roman"/>
      <w:b/>
      <w:bCs/>
      <w:kern w:val="0"/>
      <w:sz w:val="36"/>
      <w:szCs w:val="36"/>
      <w:lang w:eastAsia="en-GB"/>
    </w:rPr>
  </w:style>
  <w:style w:type="character" w:customStyle="1" w:styleId="Heading3Char">
    <w:name w:val="Heading 3 Char"/>
    <w:basedOn w:val="DefaultParagraphFont"/>
    <w:link w:val="Heading3"/>
    <w:uiPriority w:val="9"/>
    <w:rsid w:val="00F94E48"/>
    <w:rPr>
      <w:rFonts w:ascii="Times New Roman" w:eastAsia="Times New Roman" w:hAnsi="Times New Roman" w:cs="Times New Roman"/>
      <w:b/>
      <w:bCs/>
      <w:kern w:val="0"/>
      <w:sz w:val="27"/>
      <w:szCs w:val="27"/>
      <w:lang w:eastAsia="en-GB"/>
    </w:rPr>
  </w:style>
  <w:style w:type="character" w:styleId="Hyperlink">
    <w:name w:val="Hyperlink"/>
    <w:basedOn w:val="DefaultParagraphFont"/>
    <w:uiPriority w:val="99"/>
    <w:unhideWhenUsed/>
    <w:rsid w:val="00F94E48"/>
    <w:rPr>
      <w:color w:val="0000FF"/>
      <w:u w:val="single"/>
    </w:rPr>
  </w:style>
  <w:style w:type="paragraph" w:styleId="NormalWeb">
    <w:name w:val="Normal (Web)"/>
    <w:basedOn w:val="Normal"/>
    <w:uiPriority w:val="99"/>
    <w:semiHidden/>
    <w:unhideWhenUsed/>
    <w:rsid w:val="00F94E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4E48"/>
    <w:rPr>
      <w:b/>
      <w:bCs/>
    </w:rPr>
  </w:style>
  <w:style w:type="character" w:styleId="Emphasis">
    <w:name w:val="Emphasis"/>
    <w:basedOn w:val="DefaultParagraphFont"/>
    <w:uiPriority w:val="20"/>
    <w:qFormat/>
    <w:rsid w:val="00F94E48"/>
    <w:rPr>
      <w:i/>
      <w:iCs/>
    </w:rPr>
  </w:style>
  <w:style w:type="paragraph" w:customStyle="1" w:styleId="thrvwrapper">
    <w:name w:val="thrv_wrapper"/>
    <w:basedOn w:val="Normal"/>
    <w:rsid w:val="00F94E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pdate-components-actorname">
    <w:name w:val="update-components-actor__name"/>
    <w:basedOn w:val="DefaultParagraphFont"/>
    <w:rsid w:val="00CE781E"/>
  </w:style>
  <w:style w:type="character" w:customStyle="1" w:styleId="visually-hidden">
    <w:name w:val="visually-hidden"/>
    <w:basedOn w:val="DefaultParagraphFont"/>
    <w:rsid w:val="00CE781E"/>
  </w:style>
  <w:style w:type="character" w:customStyle="1" w:styleId="update-components-actorsupplementary-actor-info">
    <w:name w:val="update-components-actor__supplementary-actor-info"/>
    <w:basedOn w:val="DefaultParagraphFont"/>
    <w:rsid w:val="00CE781E"/>
  </w:style>
  <w:style w:type="character" w:customStyle="1" w:styleId="update-components-actordescription">
    <w:name w:val="update-components-actor__description"/>
    <w:basedOn w:val="DefaultParagraphFont"/>
    <w:rsid w:val="00CE781E"/>
  </w:style>
  <w:style w:type="character" w:customStyle="1" w:styleId="update-components-actorsub-description">
    <w:name w:val="update-components-actor__sub-description"/>
    <w:basedOn w:val="DefaultParagraphFont"/>
    <w:rsid w:val="00CE781E"/>
  </w:style>
  <w:style w:type="character" w:customStyle="1" w:styleId="break-words">
    <w:name w:val="break-words"/>
    <w:basedOn w:val="DefaultParagraphFont"/>
    <w:rsid w:val="00CE781E"/>
  </w:style>
  <w:style w:type="character" w:styleId="FollowedHyperlink">
    <w:name w:val="FollowedHyperlink"/>
    <w:basedOn w:val="DefaultParagraphFont"/>
    <w:uiPriority w:val="99"/>
    <w:semiHidden/>
    <w:unhideWhenUsed/>
    <w:rsid w:val="00FB7469"/>
    <w:rPr>
      <w:color w:val="954F72" w:themeColor="followedHyperlink"/>
      <w:u w:val="single"/>
    </w:rPr>
  </w:style>
  <w:style w:type="character" w:styleId="UnresolvedMention">
    <w:name w:val="Unresolved Mention"/>
    <w:basedOn w:val="DefaultParagraphFont"/>
    <w:uiPriority w:val="99"/>
    <w:semiHidden/>
    <w:unhideWhenUsed/>
    <w:rsid w:val="00FB7469"/>
    <w:rPr>
      <w:color w:val="605E5C"/>
      <w:shd w:val="clear" w:color="auto" w:fill="E1DFDD"/>
    </w:rPr>
  </w:style>
  <w:style w:type="paragraph" w:styleId="ListParagraph">
    <w:name w:val="List Paragraph"/>
    <w:basedOn w:val="Normal"/>
    <w:uiPriority w:val="34"/>
    <w:qFormat/>
    <w:rsid w:val="00FA115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hyperlink" Target="https://englishcoachonline.com/blog/like-to-or-like-in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glishcoachonline.com/blog/grammar-nonsense-book-review/"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y2St0SDMMwZ7GNEdy0buGH1gyA==">CgMxLjAyCGguZ2pkZ3hzOAByITE4TUlRM09ESkJMT2tmVHB2OTNTVVNNbDgxa0lZTjFyVg==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2673</Words>
  <Characters>15239</Characters>
  <Application>Microsoft Office Word</Application>
  <DocSecurity>0</DocSecurity>
  <Lines>126</Lines>
  <Paragraphs>35</Paragraphs>
  <ScaleCrop>false</ScaleCrop>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Kryszewska</dc:creator>
  <cp:lastModifiedBy>Hanna Kryszewska</cp:lastModifiedBy>
  <cp:revision>2</cp:revision>
  <dcterms:created xsi:type="dcterms:W3CDTF">2024-11-16T18:43:00Z</dcterms:created>
  <dcterms:modified xsi:type="dcterms:W3CDTF">2024-11-16T18:43:00Z</dcterms:modified>
</cp:coreProperties>
</file>