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B98FB" w14:textId="77777777" w:rsidR="00616160" w:rsidRDefault="00000000">
      <w:pPr>
        <w:spacing w:line="240" w:lineRule="auto"/>
        <w:jc w:val="both"/>
        <w:rPr>
          <w:rFonts w:ascii="Times New Roman" w:eastAsia="Times New Roman" w:hAnsi="Times New Roman" w:cs="Times New Roman"/>
          <w:b/>
          <w:i/>
          <w:sz w:val="28"/>
          <w:szCs w:val="28"/>
        </w:rPr>
      </w:pPr>
      <w:bookmarkStart w:id="0" w:name="_ebwvub7ybo9x" w:colFirst="0" w:colLast="0"/>
      <w:bookmarkEnd w:id="0"/>
      <w:r>
        <w:rPr>
          <w:rFonts w:ascii="Times New Roman" w:eastAsia="Times New Roman" w:hAnsi="Times New Roman" w:cs="Times New Roman"/>
          <w:b/>
          <w:i/>
          <w:sz w:val="28"/>
          <w:szCs w:val="28"/>
        </w:rPr>
        <w:t xml:space="preserve">Language Intake: Understanding and Improving Language Learning and Teaching </w:t>
      </w:r>
    </w:p>
    <w:p w14:paraId="6E48D1C9" w14:textId="77777777" w:rsidR="00616160" w:rsidRDefault="00616160">
      <w:pPr>
        <w:spacing w:line="240" w:lineRule="auto"/>
        <w:jc w:val="both"/>
        <w:rPr>
          <w:rFonts w:ascii="Times New Roman" w:eastAsia="Times New Roman" w:hAnsi="Times New Roman" w:cs="Times New Roman"/>
          <w:b/>
        </w:rPr>
      </w:pPr>
    </w:p>
    <w:p w14:paraId="7AA50ED7" w14:textId="77777777" w:rsidR="00616160"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reviewed by Cynthia Adaeze </w:t>
      </w:r>
      <w:proofErr w:type="spellStart"/>
      <w:r>
        <w:rPr>
          <w:rFonts w:ascii="Times New Roman" w:eastAsia="Times New Roman" w:hAnsi="Times New Roman" w:cs="Times New Roman"/>
          <w:b/>
        </w:rPr>
        <w:t>Onuegwunwoke</w:t>
      </w:r>
      <w:proofErr w:type="spellEnd"/>
      <w:r>
        <w:rPr>
          <w:rFonts w:ascii="Times New Roman" w:eastAsia="Times New Roman" w:hAnsi="Times New Roman" w:cs="Times New Roman"/>
          <w:b/>
        </w:rPr>
        <w:t xml:space="preserve">, </w:t>
      </w:r>
      <w:r w:rsidRPr="00C52C1F">
        <w:rPr>
          <w:rFonts w:ascii="Times New Roman" w:eastAsia="Times New Roman" w:hAnsi="Times New Roman" w:cs="Times New Roman"/>
          <w:b/>
        </w:rPr>
        <w:t xml:space="preserve">Nigeria </w:t>
      </w:r>
    </w:p>
    <w:p w14:paraId="29375401" w14:textId="77777777" w:rsidR="00616160" w:rsidRDefault="00616160">
      <w:pPr>
        <w:spacing w:line="240" w:lineRule="auto"/>
        <w:jc w:val="both"/>
        <w:rPr>
          <w:rFonts w:ascii="Times New Roman" w:eastAsia="Times New Roman" w:hAnsi="Times New Roman" w:cs="Times New Roman"/>
          <w:b/>
        </w:rPr>
      </w:pPr>
    </w:p>
    <w:p w14:paraId="4A9E749E" w14:textId="77777777" w:rsidR="00616160" w:rsidRDefault="00000000">
      <w:pPr>
        <w:spacing w:line="240" w:lineRule="auto"/>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4F57D4E5" wp14:editId="778F45BB">
            <wp:extent cx="2752704" cy="3888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752704" cy="3888000"/>
                    </a:xfrm>
                    <a:prstGeom prst="rect">
                      <a:avLst/>
                    </a:prstGeom>
                    <a:ln/>
                  </pic:spPr>
                </pic:pic>
              </a:graphicData>
            </a:graphic>
          </wp:inline>
        </w:drawing>
      </w:r>
    </w:p>
    <w:p w14:paraId="3BECAB76" w14:textId="77777777" w:rsidR="00616160"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Author: Griffiths, Carol </w:t>
      </w:r>
    </w:p>
    <w:p w14:paraId="017AB473" w14:textId="77777777" w:rsidR="00616160"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Publisher: Routledge (2025).</w:t>
      </w:r>
    </w:p>
    <w:p w14:paraId="5B694670" w14:textId="77777777" w:rsidR="00616160"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https://www.routledge.com/Language-Intake-Understanding-and-Improving-Language-Learning-and-Teaching/Griffiths/p/book/9781032799896</w:t>
      </w:r>
    </w:p>
    <w:p w14:paraId="70C02C66"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Griffiths, a seasoned scholar and practitioner in English Language Teaching (ELT), </w:t>
      </w:r>
      <w:proofErr w:type="spellStart"/>
      <w:r>
        <w:rPr>
          <w:rFonts w:ascii="Times New Roman" w:eastAsia="Times New Roman" w:hAnsi="Times New Roman" w:cs="Times New Roman"/>
        </w:rPr>
        <w:t>synthesises</w:t>
      </w:r>
      <w:proofErr w:type="spellEnd"/>
      <w:r>
        <w:rPr>
          <w:rFonts w:ascii="Times New Roman" w:eastAsia="Times New Roman" w:hAnsi="Times New Roman" w:cs="Times New Roman"/>
        </w:rPr>
        <w:t xml:space="preserve"> decades of research, theoretical frameworks, and practical insights to argue that Corder’s (1967) intake concept, defined as what learners </w:t>
      </w:r>
      <w:proofErr w:type="spellStart"/>
      <w:r>
        <w:rPr>
          <w:rFonts w:ascii="Times New Roman" w:eastAsia="Times New Roman" w:hAnsi="Times New Roman" w:cs="Times New Roman"/>
        </w:rPr>
        <w:t>internalise</w:t>
      </w:r>
      <w:proofErr w:type="spellEnd"/>
      <w:r>
        <w:rPr>
          <w:rFonts w:ascii="Times New Roman" w:eastAsia="Times New Roman" w:hAnsi="Times New Roman" w:cs="Times New Roman"/>
        </w:rPr>
        <w:t xml:space="preserve"> from linguistic input (Krashen, 1982) is shaped by a dynamic interplay of factors, including input, interaction, identity, and investment. The book’s interdisciplinary approach bridges cognitive, sociocultural, and affective dimensions. This makes it a timely and comprehensive contribution to the fields of applied linguistics and language education. It begins with a general abstract, keywords and table of contents, with a foreword by Lilia S. Borquez-Morales, who situates Griffiths’ work within broader debates in ELT and underscores her commitment to advancing knowledge in the field. </w:t>
      </w:r>
    </w:p>
    <w:p w14:paraId="17743813"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As an English language teacher educator and teacher researcher with over two decades of experience teaching in the Southeast region of Nigeria, I’ve witnessed firsthand, the complexities of language learning. Also, as Nigeria is a multilingual and multifaceted nation, my student teachers often fluent in their first language or mother tongue before mastering English. They usually navigate a linguistic landscape where identity, motivation, and cultural context shape their journey. Incidentally, when I picked up Carol Griffiths’ book, I was struck by how it mirrored my classroom realities. This book is not just a scholarly exploration of a debated concept in applied linguistics; it feels like a conversation with a colleague who understands the complexities and joys of language teaching.  </w:t>
      </w:r>
    </w:p>
    <w:p w14:paraId="6097DD7C"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This book is structured into ten chapters with 270 pages, each chapter begins with an abstract, and at the end of each chapter there are questions for further research and references. </w:t>
      </w:r>
    </w:p>
    <w:p w14:paraId="3D18BACF"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one has the title, “Reflections on the Black Hole of Language Intake”. This serves as an introduction, where Griffiths reflects on her personal journey as a language learner and teacher. She critiques traditional terminology like native speaker and second language, advocating for more inclusive terms like additional language (L+) to reflect the linguistic diversity of learners. This chapter sets the stage for this book’s central argument which sees intake as a complex, dynamic process influenced by multiple, interrelated factors. In this chapter, what stood out to me was the author’s rejection of rigid labels like ‘native </w:t>
      </w:r>
      <w:proofErr w:type="gramStart"/>
      <w:r>
        <w:rPr>
          <w:rFonts w:ascii="Times New Roman" w:eastAsia="Times New Roman" w:hAnsi="Times New Roman" w:cs="Times New Roman"/>
        </w:rPr>
        <w:t>speaker</w:t>
      </w:r>
      <w:proofErr w:type="gramEnd"/>
      <w:r>
        <w:rPr>
          <w:rFonts w:ascii="Times New Roman" w:eastAsia="Times New Roman" w:hAnsi="Times New Roman" w:cs="Times New Roman"/>
        </w:rPr>
        <w:t xml:space="preserve">’ in </w:t>
      </w:r>
      <w:proofErr w:type="spellStart"/>
      <w:r>
        <w:rPr>
          <w:rFonts w:ascii="Times New Roman" w:eastAsia="Times New Roman" w:hAnsi="Times New Roman" w:cs="Times New Roman"/>
        </w:rPr>
        <w:t>favour</w:t>
      </w:r>
      <w:proofErr w:type="spellEnd"/>
      <w:r>
        <w:rPr>
          <w:rFonts w:ascii="Times New Roman" w:eastAsia="Times New Roman" w:hAnsi="Times New Roman" w:cs="Times New Roman"/>
        </w:rPr>
        <w:t xml:space="preserve"> of inclusive terms like L+.  Griffiths’ L+ paradigm offers a healthier, more inclusive goal.  </w:t>
      </w:r>
    </w:p>
    <w:p w14:paraId="78C36C17"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two, “The Intake Concept: Overview”, </w:t>
      </w:r>
      <w:proofErr w:type="spellStart"/>
      <w:r>
        <w:rPr>
          <w:rFonts w:ascii="Times New Roman" w:eastAsia="Times New Roman" w:hAnsi="Times New Roman" w:cs="Times New Roman"/>
        </w:rPr>
        <w:t>summarises</w:t>
      </w:r>
      <w:proofErr w:type="spellEnd"/>
      <w:r>
        <w:rPr>
          <w:rFonts w:ascii="Times New Roman" w:eastAsia="Times New Roman" w:hAnsi="Times New Roman" w:cs="Times New Roman"/>
        </w:rPr>
        <w:t xml:space="preserve"> the different types of language teaching methods. It provides the meaning of intake, determinants of intake, assessment of intake, evidence from good language learners. It also provides </w:t>
      </w:r>
      <w:proofErr w:type="gramStart"/>
      <w:r>
        <w:rPr>
          <w:rFonts w:ascii="Times New Roman" w:eastAsia="Times New Roman" w:hAnsi="Times New Roman" w:cs="Times New Roman"/>
        </w:rPr>
        <w:t>demographical</w:t>
      </w:r>
      <w:proofErr w:type="gramEnd"/>
      <w:r>
        <w:rPr>
          <w:rFonts w:ascii="Times New Roman" w:eastAsia="Times New Roman" w:hAnsi="Times New Roman" w:cs="Times New Roman"/>
        </w:rPr>
        <w:t xml:space="preserve"> analysis of 13 participants for her study.</w:t>
      </w:r>
    </w:p>
    <w:p w14:paraId="7C16A6D6"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three, “The Role of Input in the achievement of Language Intake”, underscores the necessity of input as the foundation of language learning, while acknowledging the methodological debates surrounding its delivery (e.g., Grammar-Translation vs. Communicative Language Teaching). The author explores how factors like input method, presentation, and memory influence intake.  </w:t>
      </w:r>
    </w:p>
    <w:p w14:paraId="0C0B62F2"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four has the title, “The Role of Interaction in the achievement of Language Intake”, it stresses on the role of interaction as vital for developing communicative competence. It also examines the role of interaction in facilitating intake. Case studies like those of Julie and </w:t>
      </w:r>
      <w:proofErr w:type="gramStart"/>
      <w:r>
        <w:rPr>
          <w:rFonts w:ascii="Times New Roman" w:eastAsia="Times New Roman" w:hAnsi="Times New Roman" w:cs="Times New Roman"/>
        </w:rPr>
        <w:t>Olga,</w:t>
      </w:r>
      <w:proofErr w:type="gramEnd"/>
      <w:r>
        <w:rPr>
          <w:rFonts w:ascii="Times New Roman" w:eastAsia="Times New Roman" w:hAnsi="Times New Roman" w:cs="Times New Roman"/>
        </w:rPr>
        <w:t xml:space="preserve"> demonstrate the importance of immersion and feedback in achieving high levels of language proficiency.  </w:t>
      </w:r>
    </w:p>
    <w:p w14:paraId="2BDF937D"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Chapters five to seven talk about the role of identity in the achievement of language intake. In these chapters, the author explores identity through biographical, cognitive, psychological, and affective lenses, </w:t>
      </w:r>
      <w:proofErr w:type="spellStart"/>
      <w:r>
        <w:rPr>
          <w:rFonts w:ascii="Times New Roman" w:eastAsia="Times New Roman" w:hAnsi="Times New Roman" w:cs="Times New Roman"/>
        </w:rPr>
        <w:t>emphasising</w:t>
      </w:r>
      <w:proofErr w:type="spellEnd"/>
      <w:r>
        <w:rPr>
          <w:rFonts w:ascii="Times New Roman" w:eastAsia="Times New Roman" w:hAnsi="Times New Roman" w:cs="Times New Roman"/>
        </w:rPr>
        <w:t xml:space="preserve"> its fluidity and sociocultural situatedness. She discusses how factors like age, gender, nationality, and culture shape learners’ willingness and ability to </w:t>
      </w:r>
      <w:proofErr w:type="spellStart"/>
      <w:r>
        <w:rPr>
          <w:rFonts w:ascii="Times New Roman" w:eastAsia="Times New Roman" w:hAnsi="Times New Roman" w:cs="Times New Roman"/>
        </w:rPr>
        <w:t>internalise</w:t>
      </w:r>
      <w:proofErr w:type="spellEnd"/>
      <w:r>
        <w:rPr>
          <w:rFonts w:ascii="Times New Roman" w:eastAsia="Times New Roman" w:hAnsi="Times New Roman" w:cs="Times New Roman"/>
        </w:rPr>
        <w:t xml:space="preserve"> language.  </w:t>
      </w:r>
    </w:p>
    <w:p w14:paraId="3B29F761"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eight discusses, “The Role of Investment in the Achievement of Language Intake”. </w:t>
      </w:r>
      <w:proofErr w:type="gramStart"/>
      <w:r>
        <w:rPr>
          <w:rFonts w:ascii="Times New Roman" w:eastAsia="Times New Roman" w:hAnsi="Times New Roman" w:cs="Times New Roman"/>
        </w:rPr>
        <w:t>This, Griffiths</w:t>
      </w:r>
      <w:proofErr w:type="gramEnd"/>
      <w:r>
        <w:rPr>
          <w:rFonts w:ascii="Times New Roman" w:eastAsia="Times New Roman" w:hAnsi="Times New Roman" w:cs="Times New Roman"/>
        </w:rPr>
        <w:t xml:space="preserve"> frames as learners’ motivated commitment to time and effort; investment is presented as a key driver of successful intake. She argues that learners who </w:t>
      </w:r>
      <w:r>
        <w:rPr>
          <w:rFonts w:ascii="Times New Roman" w:eastAsia="Times New Roman" w:hAnsi="Times New Roman" w:cs="Times New Roman"/>
        </w:rPr>
        <w:lastRenderedPageBreak/>
        <w:t xml:space="preserve">are deeply invested in their language learning goals are more likely to achieve high levels of proficiency.  </w:t>
      </w:r>
    </w:p>
    <w:p w14:paraId="54041D54"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nine discusses, “Theoretical Underpinnings in Language Intake” and provides a comprehensive survey of theories that have shaped our understanding of language learning, from </w:t>
      </w:r>
      <w:proofErr w:type="spellStart"/>
      <w:r>
        <w:rPr>
          <w:rFonts w:ascii="Times New Roman" w:eastAsia="Times New Roman" w:hAnsi="Times New Roman" w:cs="Times New Roman"/>
        </w:rPr>
        <w:t>behaviourism</w:t>
      </w:r>
      <w:proofErr w:type="spellEnd"/>
      <w:r>
        <w:rPr>
          <w:rFonts w:ascii="Times New Roman" w:eastAsia="Times New Roman" w:hAnsi="Times New Roman" w:cs="Times New Roman"/>
        </w:rPr>
        <w:t xml:space="preserve"> and cognitivism to ecological systems theory and complex/dynamic systems theory. She </w:t>
      </w:r>
      <w:proofErr w:type="spellStart"/>
      <w:r>
        <w:rPr>
          <w:rFonts w:ascii="Times New Roman" w:eastAsia="Times New Roman" w:hAnsi="Times New Roman" w:cs="Times New Roman"/>
        </w:rPr>
        <w:t>synthesises</w:t>
      </w:r>
      <w:proofErr w:type="spellEnd"/>
      <w:r>
        <w:rPr>
          <w:rFonts w:ascii="Times New Roman" w:eastAsia="Times New Roman" w:hAnsi="Times New Roman" w:cs="Times New Roman"/>
        </w:rPr>
        <w:t xml:space="preserve"> these perspectives to build a foundation through the summary of Intake Hypothesis. While the theoretical depth of chapter nine is impressive, I admit it felt daunting at times. As a teacher educator, I wondered how my undergraduate students might grapple with such dense material.  A glossary or simplified summaries could make these insights more accessible, something I’ll consider incorporating into my own teaching materials.</w:t>
      </w:r>
    </w:p>
    <w:p w14:paraId="3CE5F83B"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 Chapter ten has the title, “The Intake Hypothesis: A Summary”. The book culminates in the presentation of the Intake Hypothesis, which posits that successful intake requires a holistic, context-sensitive approach to teaching. She argues that teachers must provide rich, engaging input, foster meaningful interaction, respect learners’ identities, and create motivating environments that encourage sustained investment.  Her summary of the intake hypothesis is a holistic, context-sensitive approach to teaching. It aligns with the fact that language education must adapt to learners’ diverse realities. </w:t>
      </w:r>
    </w:p>
    <w:p w14:paraId="5D70CBAB"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It is good to note that throughout the book, Griffiths integrates data from 13 good language learners (GLLs) across diverse linguistic and cultural backgrounds. These case studies offer rich qualitative insights into the strategies and experiences of learners who have achieved high levels of language proficiency.   One of this book’s greatest strengths is its integration of cognitive, social, and affective factors into a cohesive framework for understanding intake. Her summary of the (Intake Hypothesis) effectively </w:t>
      </w:r>
      <w:proofErr w:type="spellStart"/>
      <w:r>
        <w:rPr>
          <w:rFonts w:ascii="Times New Roman" w:eastAsia="Times New Roman" w:hAnsi="Times New Roman" w:cs="Times New Roman"/>
        </w:rPr>
        <w:t>synthesises</w:t>
      </w:r>
      <w:proofErr w:type="spellEnd"/>
      <w:r>
        <w:rPr>
          <w:rFonts w:ascii="Times New Roman" w:eastAsia="Times New Roman" w:hAnsi="Times New Roman" w:cs="Times New Roman"/>
        </w:rPr>
        <w:t xml:space="preserve"> decades of research into a coherent model, </w:t>
      </w:r>
      <w:proofErr w:type="spellStart"/>
      <w:r>
        <w:rPr>
          <w:rFonts w:ascii="Times New Roman" w:eastAsia="Times New Roman" w:hAnsi="Times New Roman" w:cs="Times New Roman"/>
        </w:rPr>
        <w:t>emphasising</w:t>
      </w:r>
      <w:proofErr w:type="spellEnd"/>
      <w:r>
        <w:rPr>
          <w:rFonts w:ascii="Times New Roman" w:eastAsia="Times New Roman" w:hAnsi="Times New Roman" w:cs="Times New Roman"/>
        </w:rPr>
        <w:t xml:space="preserve"> the interdependence of variables like input, interaction, identity, and investment. The inclusion of longitudinal case studies (e.g., Nina, Kira, Olga) and thematic analysis of GLLs’ narratives adds depth and richness to the book. Griffiths’ reflective approach acknowledging her own Anglocentric biases and the </w:t>
      </w:r>
      <w:proofErr w:type="gramStart"/>
      <w:r>
        <w:rPr>
          <w:rFonts w:ascii="Times New Roman" w:eastAsia="Times New Roman" w:hAnsi="Times New Roman" w:cs="Times New Roman"/>
        </w:rPr>
        <w:t>limitations</w:t>
      </w:r>
      <w:proofErr w:type="gramEnd"/>
      <w:r>
        <w:rPr>
          <w:rFonts w:ascii="Times New Roman" w:eastAsia="Times New Roman" w:hAnsi="Times New Roman" w:cs="Times New Roman"/>
        </w:rPr>
        <w:t xml:space="preserve"> of her study enhances the credibility of her findings. The use of qualitative data provides a </w:t>
      </w:r>
      <w:proofErr w:type="spellStart"/>
      <w:r>
        <w:rPr>
          <w:rFonts w:ascii="Times New Roman" w:eastAsia="Times New Roman" w:hAnsi="Times New Roman" w:cs="Times New Roman"/>
        </w:rPr>
        <w:t>humanising</w:t>
      </w:r>
      <w:proofErr w:type="spellEnd"/>
      <w:r>
        <w:rPr>
          <w:rFonts w:ascii="Times New Roman" w:eastAsia="Times New Roman" w:hAnsi="Times New Roman" w:cs="Times New Roman"/>
        </w:rPr>
        <w:t xml:space="preserve"> counterpoint to the theoretical discussions, making the book accessible and relatable. </w:t>
      </w:r>
    </w:p>
    <w:p w14:paraId="4B424FF6"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On the other hand, while the dynamic systems perspective is one of the book’s strengths, the dense theoretical discussions (e.g., Chapter 9) may overwhelm novice readers. This book assumes a high level of familiarity with applied linguistics and language education, which could limit its accessibility for undergraduate students or practitioners without a strong theoretical background. Including a glossary or simplified summaries of key concepts could improve its usability for a broader audience. Despite acknowledging technology’s role in interaction (Chapter 4), the book under-explores the potential of digital tools (e.g., AI, VR, language learning apps) to redefine modern language learning. Given the rapid advancements in educational technology, a more thorough discussion of how digital tools can enhance intake would have been timely and relevant.  </w:t>
      </w:r>
    </w:p>
    <w:p w14:paraId="4A027F56"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Also, the focus on “good language learners” (GLLs) is a good exploration though it risks </w:t>
      </w:r>
      <w:proofErr w:type="spellStart"/>
      <w:r>
        <w:rPr>
          <w:rFonts w:ascii="Times New Roman" w:eastAsia="Times New Roman" w:hAnsi="Times New Roman" w:cs="Times New Roman"/>
        </w:rPr>
        <w:t>marginalising</w:t>
      </w:r>
      <w:proofErr w:type="spellEnd"/>
      <w:r>
        <w:rPr>
          <w:rFonts w:ascii="Times New Roman" w:eastAsia="Times New Roman" w:hAnsi="Times New Roman" w:cs="Times New Roman"/>
        </w:rPr>
        <w:t xml:space="preserve"> average or struggling learners. While the case studies provide valuable insights into the strategies of successful learners, they offer limited guidance for addressing the challenges faced by those who struggle with language acquisition. A comparative analysis of intake barriers (e.g., socioeconomic constraints, learning disabilities) would strengthen the book’s framework and </w:t>
      </w:r>
      <w:r>
        <w:rPr>
          <w:rFonts w:ascii="Times New Roman" w:eastAsia="Times New Roman" w:hAnsi="Times New Roman" w:cs="Times New Roman"/>
        </w:rPr>
        <w:lastRenderedPageBreak/>
        <w:t xml:space="preserve">make it more inclusive. The study’s participants are drawn primarily from Europe, Asia, and the Middle East, with limited representation from Africa and Latin America. This gap in the data raises questions about the </w:t>
      </w:r>
      <w:proofErr w:type="spellStart"/>
      <w:r>
        <w:rPr>
          <w:rFonts w:ascii="Times New Roman" w:eastAsia="Times New Roman" w:hAnsi="Times New Roman" w:cs="Times New Roman"/>
        </w:rPr>
        <w:t>generalisability</w:t>
      </w:r>
      <w:proofErr w:type="spellEnd"/>
      <w:r>
        <w:rPr>
          <w:rFonts w:ascii="Times New Roman" w:eastAsia="Times New Roman" w:hAnsi="Times New Roman" w:cs="Times New Roman"/>
        </w:rPr>
        <w:t xml:space="preserve"> of Griffiths’ findings to learners from these regions. Future editions could benefit from a more diverse sample to ensure the book’s relevance to a global audience.</w:t>
      </w:r>
    </w:p>
    <w:p w14:paraId="5CDBE074"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i/>
        </w:rPr>
        <w:t>Language Intake: Understanding and Improving Language Learning and</w:t>
      </w:r>
      <w:r>
        <w:rPr>
          <w:rFonts w:ascii="Times New Roman" w:eastAsia="Times New Roman" w:hAnsi="Times New Roman" w:cs="Times New Roman"/>
        </w:rPr>
        <w:t xml:space="preserve"> </w:t>
      </w:r>
      <w:r>
        <w:rPr>
          <w:rFonts w:ascii="Times New Roman" w:eastAsia="Times New Roman" w:hAnsi="Times New Roman" w:cs="Times New Roman"/>
          <w:i/>
        </w:rPr>
        <w:t>Teaching</w:t>
      </w:r>
      <w:r>
        <w:rPr>
          <w:rFonts w:ascii="Times New Roman" w:eastAsia="Times New Roman" w:hAnsi="Times New Roman" w:cs="Times New Roman"/>
        </w:rPr>
        <w:t xml:space="preserve"> is a work that advances our understanding of how learners </w:t>
      </w:r>
      <w:proofErr w:type="spellStart"/>
      <w:r>
        <w:rPr>
          <w:rFonts w:ascii="Times New Roman" w:eastAsia="Times New Roman" w:hAnsi="Times New Roman" w:cs="Times New Roman"/>
        </w:rPr>
        <w:t>internalise</w:t>
      </w:r>
      <w:proofErr w:type="spellEnd"/>
      <w:r>
        <w:rPr>
          <w:rFonts w:ascii="Times New Roman" w:eastAsia="Times New Roman" w:hAnsi="Times New Roman" w:cs="Times New Roman"/>
        </w:rPr>
        <w:t xml:space="preserve"> language. Griffiths’ emphasis on identity as a dynamic, multifaceted construct and her rejection of one size fits all methodologies resonate in an era of increasing linguistic and cultural diversity. This book’s holistic framework, empirical </w:t>
      </w:r>
      <w:proofErr w:type="spellStart"/>
      <w:r>
        <w:rPr>
          <w:rFonts w:ascii="Times New Roman" w:eastAsia="Times New Roman" w:hAnsi="Times New Roman" w:cs="Times New Roman"/>
        </w:rPr>
        <w:t>rigour</w:t>
      </w:r>
      <w:proofErr w:type="spellEnd"/>
      <w:r>
        <w:rPr>
          <w:rFonts w:ascii="Times New Roman" w:eastAsia="Times New Roman" w:hAnsi="Times New Roman" w:cs="Times New Roman"/>
        </w:rPr>
        <w:t xml:space="preserve">, and practical relevance make it an indispensable resource for researchers, educators, and policymakers. However, the book’s complexity and limited focus on technology and inclusivity highlight areas for further exploration. Future editions could benefit from expanded discussions on digital tools, equity, and the challenges faced by struggling learners. For practitioners, Griffiths’ insights offer critical strategies for creating inclusive, motivating learning environments. Her emphasis on the importance of interaction, feedback, and investment provides a roadmap for designing effective language lessons. Additionally, her critique of traditional terminology encourages educators to adopt more inclusive practices that respect learners’ diverse linguistic and cultural backgrounds.  </w:t>
      </w:r>
    </w:p>
    <w:p w14:paraId="7A3EB6A7"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This book is highly recommended for graduate courses in applied linguistics, TESOL, language pedagogy and policy makers. Practitioners will find its case studies and pedagogical implications particularly transformative, while theorists will appreciate its rigorous engagement with interdisciplinary paradigms. Griffiths’ work not only clarifies the “black hole” of intake but also lights the way for future research and practice.  </w:t>
      </w:r>
    </w:p>
    <w:p w14:paraId="52F20FD1" w14:textId="77777777" w:rsidR="00616160" w:rsidRDefault="00000000">
      <w:pPr>
        <w:spacing w:line="240" w:lineRule="auto"/>
        <w:jc w:val="both"/>
        <w:rPr>
          <w:rFonts w:ascii="Times New Roman" w:eastAsia="Times New Roman" w:hAnsi="Times New Roman" w:cs="Times New Roman"/>
          <w:b/>
        </w:rPr>
      </w:pPr>
      <w:r>
        <w:rPr>
          <w:rFonts w:ascii="Times New Roman" w:eastAsia="Times New Roman" w:hAnsi="Times New Roman" w:cs="Times New Roman"/>
          <w:b/>
        </w:rPr>
        <w:t>References</w:t>
      </w:r>
    </w:p>
    <w:p w14:paraId="2B55952D" w14:textId="77777777" w:rsidR="00616160" w:rsidRDefault="00000000">
      <w:pPr>
        <w:spacing w:line="240" w:lineRule="auto"/>
        <w:jc w:val="both"/>
        <w:rPr>
          <w:rFonts w:ascii="Times New Roman" w:eastAsia="Times New Roman" w:hAnsi="Times New Roman" w:cs="Times New Roman"/>
        </w:rPr>
      </w:pPr>
      <w:r>
        <w:rPr>
          <w:rFonts w:ascii="Times New Roman" w:eastAsia="Times New Roman" w:hAnsi="Times New Roman" w:cs="Times New Roman"/>
        </w:rPr>
        <w:t xml:space="preserve">Corder, S. P., (1967). The significance of learners’ errors. International Review of Applied </w:t>
      </w:r>
    </w:p>
    <w:p w14:paraId="0D48A76F" w14:textId="77777777" w:rsidR="00616160" w:rsidRDefault="00000000">
      <w:pPr>
        <w:spacing w:line="240" w:lineRule="auto"/>
        <w:ind w:left="720"/>
        <w:jc w:val="both"/>
        <w:rPr>
          <w:rFonts w:ascii="Times New Roman" w:eastAsia="Times New Roman" w:hAnsi="Times New Roman" w:cs="Times New Roman"/>
        </w:rPr>
      </w:pPr>
      <w:r>
        <w:rPr>
          <w:rFonts w:ascii="Times New Roman" w:eastAsia="Times New Roman" w:hAnsi="Times New Roman" w:cs="Times New Roman"/>
        </w:rPr>
        <w:t xml:space="preserve">Linguistics in Language Teaching, 5(1-4), 161-170. </w:t>
      </w:r>
      <w:r>
        <w:rPr>
          <w:rFonts w:ascii="Times New Roman" w:eastAsia="Times New Roman" w:hAnsi="Times New Roman" w:cs="Times New Roman"/>
          <w:u w:val="single"/>
        </w:rPr>
        <w:t>https://doi.org/10.1515/ira.1967.5.1-4.161</w:t>
      </w:r>
    </w:p>
    <w:p w14:paraId="374BF6C3" w14:textId="77777777" w:rsidR="00616160"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Krashen, S. D. (1982). Principles and practice in second language acquisition. Pergamon Press.</w:t>
      </w:r>
    </w:p>
    <w:p w14:paraId="78465B79" w14:textId="77777777" w:rsidR="00616160" w:rsidRDefault="00616160">
      <w:pPr>
        <w:spacing w:line="240" w:lineRule="auto"/>
        <w:rPr>
          <w:rFonts w:ascii="Times New Roman" w:eastAsia="Times New Roman" w:hAnsi="Times New Roman" w:cs="Times New Roman"/>
        </w:rPr>
      </w:pPr>
    </w:p>
    <w:p w14:paraId="3E30197C" w14:textId="77777777" w:rsidR="00616160" w:rsidRDefault="00616160">
      <w:pPr>
        <w:spacing w:line="240" w:lineRule="auto"/>
        <w:rPr>
          <w:rFonts w:ascii="Times New Roman" w:eastAsia="Times New Roman" w:hAnsi="Times New Roman" w:cs="Times New Roman"/>
        </w:rPr>
      </w:pPr>
    </w:p>
    <w:p w14:paraId="564E6C82" w14:textId="77777777" w:rsidR="00616160" w:rsidRDefault="00000000">
      <w:pPr>
        <w:spacing w:after="0" w:line="240" w:lineRule="auto"/>
        <w:rPr>
          <w:rFonts w:ascii="Times New Roman" w:eastAsia="Times New Roman" w:hAnsi="Times New Roman" w:cs="Times New Roman"/>
          <w:b/>
        </w:rPr>
      </w:pPr>
      <w:bookmarkStart w:id="1" w:name="_taftmaky2udv" w:colFirst="0" w:colLast="0"/>
      <w:bookmarkEnd w:id="1"/>
      <w:r>
        <w:rPr>
          <w:rFonts w:ascii="Times New Roman" w:eastAsia="Times New Roman" w:hAnsi="Times New Roman" w:cs="Times New Roman"/>
          <w:b/>
        </w:rPr>
        <w:t xml:space="preserve">Please check the </w:t>
      </w:r>
      <w:r>
        <w:rPr>
          <w:rFonts w:ascii="Times New Roman" w:eastAsia="Times New Roman" w:hAnsi="Times New Roman" w:cs="Times New Roman"/>
          <w:b/>
          <w:u w:val="single"/>
        </w:rPr>
        <w:t>Pilgrims in Segovia Teacher Training courses 2026</w:t>
      </w:r>
      <w:r>
        <w:rPr>
          <w:rFonts w:ascii="Times New Roman" w:eastAsia="Times New Roman" w:hAnsi="Times New Roman" w:cs="Times New Roman"/>
          <w:b/>
        </w:rPr>
        <w:t xml:space="preserve"> at Pilgrims website.</w:t>
      </w:r>
    </w:p>
    <w:p w14:paraId="19A5957D" w14:textId="77777777" w:rsidR="00616160" w:rsidRDefault="00616160">
      <w:pPr>
        <w:spacing w:after="0" w:line="240" w:lineRule="auto"/>
        <w:rPr>
          <w:rFonts w:ascii="Times New Roman" w:eastAsia="Times New Roman" w:hAnsi="Times New Roman" w:cs="Times New Roman"/>
          <w:b/>
        </w:rPr>
      </w:pPr>
    </w:p>
    <w:p w14:paraId="0064A339" w14:textId="77777777" w:rsidR="00616160"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Please check the </w:t>
      </w:r>
      <w:r>
        <w:rPr>
          <w:rFonts w:ascii="Times New Roman" w:eastAsia="Times New Roman" w:hAnsi="Times New Roman" w:cs="Times New Roman"/>
          <w:b/>
          <w:u w:val="single"/>
        </w:rPr>
        <w:t>Pilgrims f2f courses</w:t>
      </w:r>
      <w:r>
        <w:rPr>
          <w:rFonts w:ascii="Times New Roman" w:eastAsia="Times New Roman" w:hAnsi="Times New Roman" w:cs="Times New Roman"/>
          <w:b/>
        </w:rPr>
        <w:t xml:space="preserve"> at Pilgrims website.</w:t>
      </w:r>
    </w:p>
    <w:p w14:paraId="2FD667C6" w14:textId="77777777" w:rsidR="00616160" w:rsidRDefault="00616160">
      <w:pPr>
        <w:spacing w:line="240" w:lineRule="auto"/>
        <w:rPr>
          <w:rFonts w:ascii="Times New Roman" w:eastAsia="Times New Roman" w:hAnsi="Times New Roman" w:cs="Times New Roman"/>
        </w:rPr>
      </w:pPr>
    </w:p>
    <w:sectPr w:rsidR="0061616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lay">
    <w:altName w:val="Calibri"/>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160"/>
    <w:rsid w:val="004337E9"/>
    <w:rsid w:val="00616160"/>
    <w:rsid w:val="00C52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B3EED"/>
  <w15:docId w15:val="{358B6B8F-CB0C-48D0-83AF-6C8C7B3F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1640</Words>
  <Characters>9349</Characters>
  <Application>Microsoft Office Word</Application>
  <DocSecurity>0</DocSecurity>
  <Lines>77</Lines>
  <Paragraphs>21</Paragraphs>
  <ScaleCrop>false</ScaleCrop>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2025-07-05T20:00:00Z</dcterms:created>
  <dcterms:modified xsi:type="dcterms:W3CDTF">2025-07-05T20:00:00Z</dcterms:modified>
</cp:coreProperties>
</file>