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FE19" w14:textId="77777777" w:rsidR="005A5390" w:rsidRDefault="00000000">
      <w:pPr>
        <w:jc w:val="both"/>
        <w:rPr>
          <w:rFonts w:eastAsia="Times New Roman"/>
          <w:color w:val="000000"/>
          <w:sz w:val="28"/>
          <w:szCs w:val="28"/>
        </w:rPr>
      </w:pPr>
      <w:r>
        <w:rPr>
          <w:b/>
          <w:color w:val="000000"/>
          <w:sz w:val="28"/>
          <w:szCs w:val="28"/>
        </w:rPr>
        <w:t xml:space="preserve">Working with </w:t>
      </w:r>
      <w:r>
        <w:rPr>
          <w:b/>
          <w:sz w:val="28"/>
          <w:szCs w:val="28"/>
        </w:rPr>
        <w:t>P</w:t>
      </w:r>
      <w:r>
        <w:rPr>
          <w:b/>
          <w:color w:val="000000"/>
          <w:sz w:val="28"/>
          <w:szCs w:val="28"/>
        </w:rPr>
        <w:t xml:space="preserve">ostcolonial </w:t>
      </w:r>
      <w:r>
        <w:rPr>
          <w:b/>
          <w:sz w:val="28"/>
          <w:szCs w:val="28"/>
        </w:rPr>
        <w:t>L</w:t>
      </w:r>
      <w:r>
        <w:rPr>
          <w:b/>
          <w:color w:val="000000"/>
          <w:sz w:val="28"/>
          <w:szCs w:val="28"/>
        </w:rPr>
        <w:t xml:space="preserve">iterature as a </w:t>
      </w:r>
      <w:r>
        <w:rPr>
          <w:b/>
          <w:sz w:val="28"/>
          <w:szCs w:val="28"/>
        </w:rPr>
        <w:t>L</w:t>
      </w:r>
      <w:r>
        <w:rPr>
          <w:b/>
          <w:color w:val="000000"/>
          <w:sz w:val="28"/>
          <w:szCs w:val="28"/>
        </w:rPr>
        <w:t xml:space="preserve">earning </w:t>
      </w:r>
      <w:r>
        <w:rPr>
          <w:b/>
          <w:sz w:val="28"/>
          <w:szCs w:val="28"/>
        </w:rPr>
        <w:t>O</w:t>
      </w:r>
      <w:r>
        <w:rPr>
          <w:b/>
          <w:color w:val="000000"/>
          <w:sz w:val="28"/>
          <w:szCs w:val="28"/>
        </w:rPr>
        <w:t xml:space="preserve">pportunity for the </w:t>
      </w:r>
      <w:r>
        <w:rPr>
          <w:b/>
          <w:sz w:val="28"/>
          <w:szCs w:val="28"/>
        </w:rPr>
        <w:t>D</w:t>
      </w:r>
      <w:r>
        <w:rPr>
          <w:b/>
          <w:color w:val="000000"/>
          <w:sz w:val="28"/>
          <w:szCs w:val="28"/>
        </w:rPr>
        <w:t xml:space="preserve">evelopment of the </w:t>
      </w:r>
      <w:r>
        <w:rPr>
          <w:b/>
          <w:sz w:val="28"/>
          <w:szCs w:val="28"/>
        </w:rPr>
        <w:t>Y</w:t>
      </w:r>
      <w:r>
        <w:rPr>
          <w:b/>
          <w:color w:val="000000"/>
          <w:sz w:val="28"/>
          <w:szCs w:val="28"/>
        </w:rPr>
        <w:t xml:space="preserve">oung </w:t>
      </w:r>
      <w:r>
        <w:rPr>
          <w:b/>
          <w:sz w:val="28"/>
          <w:szCs w:val="28"/>
        </w:rPr>
        <w:t>P</w:t>
      </w:r>
      <w:r>
        <w:rPr>
          <w:b/>
          <w:color w:val="000000"/>
          <w:sz w:val="28"/>
          <w:szCs w:val="28"/>
        </w:rPr>
        <w:t>erson</w:t>
      </w:r>
    </w:p>
    <w:p w14:paraId="3A130394" w14:textId="77777777" w:rsidR="00881D1E" w:rsidRDefault="00881D1E">
      <w:pPr>
        <w:jc w:val="both"/>
        <w:rPr>
          <w:b/>
          <w:color w:val="000000"/>
        </w:rPr>
      </w:pPr>
    </w:p>
    <w:p w14:paraId="6D9CB482" w14:textId="4EBCBFB3" w:rsidR="005A5390" w:rsidRDefault="00000000">
      <w:pPr>
        <w:jc w:val="both"/>
        <w:rPr>
          <w:b/>
          <w:color w:val="000000"/>
        </w:rPr>
      </w:pPr>
      <w:r>
        <w:rPr>
          <w:b/>
          <w:color w:val="000000"/>
        </w:rPr>
        <w:t xml:space="preserve">Martyn Rawson, </w:t>
      </w:r>
      <w:r>
        <w:rPr>
          <w:b/>
        </w:rPr>
        <w:t>Scotland/Germany</w:t>
      </w:r>
    </w:p>
    <w:p w14:paraId="2FC5DE9B" w14:textId="77777777" w:rsidR="005A5390" w:rsidRDefault="005A5390">
      <w:pPr>
        <w:jc w:val="both"/>
        <w:rPr>
          <w:b/>
        </w:rPr>
      </w:pPr>
    </w:p>
    <w:p w14:paraId="54F9B20E" w14:textId="77777777" w:rsidR="005A5390" w:rsidRDefault="00000000">
      <w:pPr>
        <w:shd w:val="clear" w:color="auto" w:fill="FFFFFF"/>
        <w:jc w:val="both"/>
        <w:rPr>
          <w:color w:val="353535"/>
        </w:rPr>
      </w:pPr>
      <w:r>
        <w:rPr>
          <w:color w:val="353535"/>
        </w:rPr>
        <w:t xml:space="preserve">Martyn Rawson teaches English at the Christian Morgenstern School in Hamburg and on the </w:t>
      </w:r>
      <w:proofErr w:type="gramStart"/>
      <w:r>
        <w:rPr>
          <w:color w:val="353535"/>
        </w:rPr>
        <w:t>Masters</w:t>
      </w:r>
      <w:proofErr w:type="gramEnd"/>
      <w:r>
        <w:rPr>
          <w:color w:val="353535"/>
        </w:rPr>
        <w:t xml:space="preserve"> </w:t>
      </w:r>
      <w:proofErr w:type="spellStart"/>
      <w:r>
        <w:rPr>
          <w:color w:val="353535"/>
        </w:rPr>
        <w:t>Programme</w:t>
      </w:r>
      <w:proofErr w:type="spellEnd"/>
      <w:r>
        <w:rPr>
          <w:color w:val="353535"/>
        </w:rPr>
        <w:t xml:space="preserve"> of the </w:t>
      </w:r>
      <w:proofErr w:type="spellStart"/>
      <w:r>
        <w:rPr>
          <w:color w:val="353535"/>
        </w:rPr>
        <w:t>Freie</w:t>
      </w:r>
      <w:proofErr w:type="spellEnd"/>
      <w:r>
        <w:rPr>
          <w:color w:val="353535"/>
        </w:rPr>
        <w:t xml:space="preserve"> Hochschule Stuttgart. He is also an honorary professor at National Tsinghua University Taiwan. He has written widely on Waldorf education, most recently Steiner Waldorf Pedagogy in Schools. A critical introduction published by Routledge. </w:t>
      </w:r>
    </w:p>
    <w:p w14:paraId="0A30A373" w14:textId="77777777" w:rsidR="005A5390" w:rsidRPr="004D038A" w:rsidRDefault="00000000">
      <w:pPr>
        <w:shd w:val="clear" w:color="auto" w:fill="FFFFFF"/>
        <w:jc w:val="both"/>
      </w:pPr>
      <w:r>
        <w:rPr>
          <w:color w:val="353535"/>
        </w:rPr>
        <w:t>Email:</w:t>
      </w:r>
      <w:r>
        <w:t xml:space="preserve"> </w:t>
      </w:r>
      <w:hyperlink r:id="rId7">
        <w:r w:rsidRPr="004D038A">
          <w:t>martynrawson@icloud.com</w:t>
        </w:r>
      </w:hyperlink>
    </w:p>
    <w:p w14:paraId="06FB1686" w14:textId="77777777" w:rsidR="005A5390" w:rsidRDefault="005A5390">
      <w:pPr>
        <w:shd w:val="clear" w:color="auto" w:fill="FFFFFF"/>
        <w:jc w:val="both"/>
        <w:rPr>
          <w:color w:val="353535"/>
        </w:rPr>
      </w:pPr>
    </w:p>
    <w:p w14:paraId="699BB871" w14:textId="77777777" w:rsidR="005A5390" w:rsidRDefault="00000000">
      <w:pPr>
        <w:shd w:val="clear" w:color="auto" w:fill="FFFFFF"/>
        <w:jc w:val="both"/>
        <w:rPr>
          <w:b/>
        </w:rPr>
      </w:pPr>
      <w:r>
        <w:rPr>
          <w:noProof/>
          <w:color w:val="353535"/>
        </w:rPr>
        <w:drawing>
          <wp:inline distT="114300" distB="114300" distL="114300" distR="114300" wp14:anchorId="672E2B64" wp14:editId="71438D11">
            <wp:extent cx="2195513" cy="24242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95513" cy="2424212"/>
                    </a:xfrm>
                    <a:prstGeom prst="rect">
                      <a:avLst/>
                    </a:prstGeom>
                    <a:ln/>
                  </pic:spPr>
                </pic:pic>
              </a:graphicData>
            </a:graphic>
          </wp:inline>
        </w:drawing>
      </w:r>
    </w:p>
    <w:p w14:paraId="15FFB5DF" w14:textId="77777777" w:rsidR="005A5390" w:rsidRDefault="005A5390">
      <w:pPr>
        <w:jc w:val="both"/>
        <w:rPr>
          <w:rFonts w:eastAsia="Times New Roman"/>
          <w:color w:val="000000"/>
        </w:rPr>
      </w:pPr>
    </w:p>
    <w:p w14:paraId="0DF0F84B" w14:textId="761EF957" w:rsidR="005A5390" w:rsidRDefault="00000000">
      <w:pPr>
        <w:jc w:val="both"/>
        <w:rPr>
          <w:b/>
        </w:rPr>
      </w:pPr>
      <w:r>
        <w:rPr>
          <w:b/>
        </w:rPr>
        <w:t>Abstract</w:t>
      </w:r>
    </w:p>
    <w:p w14:paraId="1D5077D8" w14:textId="77777777" w:rsidR="004D038A" w:rsidRDefault="004D038A">
      <w:pPr>
        <w:jc w:val="both"/>
        <w:rPr>
          <w:b/>
        </w:rPr>
      </w:pPr>
    </w:p>
    <w:p w14:paraId="70720546" w14:textId="77777777" w:rsidR="005A5390" w:rsidRDefault="00000000">
      <w:pPr>
        <w:jc w:val="both"/>
      </w:pPr>
      <w:r>
        <w:t xml:space="preserve">This article explores how teaching and learning English as a second language can contribute to the self-formation of young people, in particular when the texts and media they engage with in the language help to socialize them in a multicultural world, to enable them to learn the skills to </w:t>
      </w:r>
      <w:proofErr w:type="spellStart"/>
      <w:r>
        <w:t>analyse</w:t>
      </w:r>
      <w:proofErr w:type="spellEnd"/>
      <w:r>
        <w:t xml:space="preserve"> and understand literature from other cultures and particularly when the subject matter interrupts them offers them opportunities to step up and take a position and exercise their agency. This is all part of the identity work that comes with the developmental tasks they face as emergent young adults. Postcolonial literature can offer a field in which themes are encountered that summons the young person to take responsibility for her thoughts, feelings and actions. The other language becomes a medium for transformation. </w:t>
      </w:r>
    </w:p>
    <w:p w14:paraId="614138D3" w14:textId="77777777" w:rsidR="005A5390" w:rsidRDefault="005A5390">
      <w:pPr>
        <w:jc w:val="both"/>
        <w:rPr>
          <w:b/>
        </w:rPr>
      </w:pPr>
    </w:p>
    <w:p w14:paraId="1E2DF429" w14:textId="77777777" w:rsidR="005A5390" w:rsidRDefault="00000000">
      <w:pPr>
        <w:jc w:val="both"/>
        <w:rPr>
          <w:b/>
          <w:color w:val="000000"/>
        </w:rPr>
      </w:pPr>
      <w:r>
        <w:rPr>
          <w:b/>
          <w:color w:val="000000"/>
        </w:rPr>
        <w:t>Developmental tasks</w:t>
      </w:r>
    </w:p>
    <w:p w14:paraId="63FC85E2" w14:textId="77777777" w:rsidR="005A5390" w:rsidRDefault="005A5390">
      <w:pPr>
        <w:jc w:val="both"/>
        <w:rPr>
          <w:b/>
        </w:rPr>
      </w:pPr>
    </w:p>
    <w:p w14:paraId="69A929C2" w14:textId="77777777" w:rsidR="005A5390" w:rsidRDefault="00000000">
      <w:pPr>
        <w:jc w:val="both"/>
        <w:rPr>
          <w:rFonts w:eastAsia="Times New Roman"/>
          <w:color w:val="000000"/>
        </w:rPr>
      </w:pPr>
      <w:r>
        <w:rPr>
          <w:rFonts w:eastAsia="Times New Roman"/>
          <w:color w:val="000000"/>
        </w:rPr>
        <w:t xml:space="preserve">From the perspective of Waldorf education, teaching another language is not only a utilitarian activity but should contribute to the self-formation and individuation of the student (Rawson, 2021). The educational philosopher Gert Biesta (2021) argues that it is analytically helpful to recognize that all schools have three domains of educational purpose: </w:t>
      </w:r>
      <w:proofErr w:type="spellStart"/>
      <w:r>
        <w:rPr>
          <w:rFonts w:eastAsia="Times New Roman"/>
          <w:color w:val="000000"/>
        </w:rPr>
        <w:t>socialisation</w:t>
      </w:r>
      <w:proofErr w:type="spellEnd"/>
      <w:r>
        <w:rPr>
          <w:rFonts w:eastAsia="Times New Roman"/>
          <w:color w:val="000000"/>
        </w:rPr>
        <w:t xml:space="preserve">, </w:t>
      </w:r>
      <w:proofErr w:type="gramStart"/>
      <w:r>
        <w:rPr>
          <w:rFonts w:eastAsia="Times New Roman"/>
          <w:color w:val="000000"/>
        </w:rPr>
        <w:t>qualification</w:t>
      </w:r>
      <w:proofErr w:type="gramEnd"/>
      <w:r>
        <w:rPr>
          <w:rFonts w:eastAsia="Times New Roman"/>
          <w:color w:val="000000"/>
        </w:rPr>
        <w:t xml:space="preserve"> and subjectification (‘translated’ here as becoming a subject). In all three domains, the core task of </w:t>
      </w:r>
      <w:r>
        <w:t>education is</w:t>
      </w:r>
      <w:r>
        <w:rPr>
          <w:rFonts w:eastAsia="Times New Roman"/>
          <w:color w:val="000000"/>
        </w:rPr>
        <w:t xml:space="preserve"> the call to self-activity. Fulfilling these tasks is no easy undertaking in a late modern context in which traditional cultural and gender identities and social roles have become fluid and fragmented or have dissolved altogether (Bauman, 2007) and young people </w:t>
      </w:r>
      <w:proofErr w:type="gramStart"/>
      <w:r>
        <w:rPr>
          <w:rFonts w:eastAsia="Times New Roman"/>
          <w:color w:val="000000"/>
        </w:rPr>
        <w:t>have to</w:t>
      </w:r>
      <w:proofErr w:type="gramEnd"/>
      <w:r>
        <w:rPr>
          <w:rFonts w:eastAsia="Times New Roman"/>
          <w:color w:val="000000"/>
        </w:rPr>
        <w:t xml:space="preserve"> develop the ability to construct ongoing coherent and stable identities (</w:t>
      </w:r>
      <w:proofErr w:type="spellStart"/>
      <w:r>
        <w:rPr>
          <w:rFonts w:eastAsia="Times New Roman"/>
          <w:color w:val="000000"/>
        </w:rPr>
        <w:t>Hurrelmann</w:t>
      </w:r>
      <w:proofErr w:type="spellEnd"/>
      <w:r>
        <w:rPr>
          <w:rFonts w:eastAsia="Times New Roman"/>
          <w:color w:val="000000"/>
        </w:rPr>
        <w:t xml:space="preserve"> and Bauer, 2018). As Ole Dreier (2008) has shown, young people </w:t>
      </w:r>
      <w:proofErr w:type="gramStart"/>
      <w:r>
        <w:rPr>
          <w:rFonts w:eastAsia="Times New Roman"/>
          <w:color w:val="000000"/>
        </w:rPr>
        <w:t>have to</w:t>
      </w:r>
      <w:proofErr w:type="gramEnd"/>
      <w:r>
        <w:rPr>
          <w:rFonts w:eastAsia="Times New Roman"/>
          <w:color w:val="000000"/>
        </w:rPr>
        <w:t xml:space="preserve"> </w:t>
      </w:r>
      <w:r>
        <w:rPr>
          <w:rFonts w:eastAsia="Times New Roman"/>
          <w:color w:val="000000"/>
        </w:rPr>
        <w:lastRenderedPageBreak/>
        <w:t xml:space="preserve">continuously position themselves and take stances across different social practices through their daily lives; in the family, in their peer-group, on the street, in school etc. Young people who belong to minority groups also have to contend with being negatively positioned by other, powerful actors, such as the police and even </w:t>
      </w:r>
      <w:proofErr w:type="gramStart"/>
      <w:r>
        <w:rPr>
          <w:rFonts w:eastAsia="Times New Roman"/>
          <w:color w:val="000000"/>
        </w:rPr>
        <w:t>school teachers</w:t>
      </w:r>
      <w:proofErr w:type="gramEnd"/>
      <w:r>
        <w:rPr>
          <w:rFonts w:eastAsia="Times New Roman"/>
          <w:color w:val="000000"/>
        </w:rPr>
        <w:t xml:space="preserve">. Even young people who belong to (often white) majorities, also </w:t>
      </w:r>
      <w:proofErr w:type="gramStart"/>
      <w:r>
        <w:rPr>
          <w:rFonts w:eastAsia="Times New Roman"/>
          <w:color w:val="000000"/>
        </w:rPr>
        <w:t>have to</w:t>
      </w:r>
      <w:proofErr w:type="gramEnd"/>
      <w:r>
        <w:rPr>
          <w:rFonts w:eastAsia="Times New Roman"/>
          <w:color w:val="000000"/>
        </w:rPr>
        <w:t xml:space="preserve"> navigate their way through complex and shifting family constellations, disadvantaged socio-economic status, challenging peer-group pressure, social media influence and so on. Being a youth and becoming a young adult was never so complicated. </w:t>
      </w:r>
    </w:p>
    <w:p w14:paraId="19B3DE95" w14:textId="77777777" w:rsidR="005A5390" w:rsidRDefault="005A5390">
      <w:pPr>
        <w:jc w:val="both"/>
        <w:rPr>
          <w:rFonts w:eastAsia="Times New Roman"/>
          <w:color w:val="000000"/>
        </w:rPr>
      </w:pPr>
    </w:p>
    <w:p w14:paraId="246EAB35" w14:textId="77777777" w:rsidR="005A5390" w:rsidRDefault="00000000">
      <w:pPr>
        <w:jc w:val="both"/>
        <w:rPr>
          <w:b/>
          <w:color w:val="000000"/>
        </w:rPr>
      </w:pPr>
      <w:proofErr w:type="spellStart"/>
      <w:r>
        <w:rPr>
          <w:b/>
          <w:color w:val="000000"/>
        </w:rPr>
        <w:t>Socialisation</w:t>
      </w:r>
      <w:proofErr w:type="spellEnd"/>
    </w:p>
    <w:p w14:paraId="44AAE91E" w14:textId="77777777" w:rsidR="005A5390" w:rsidRDefault="005A5390">
      <w:pPr>
        <w:jc w:val="both"/>
        <w:rPr>
          <w:b/>
        </w:rPr>
      </w:pPr>
    </w:p>
    <w:p w14:paraId="6BBE0E12" w14:textId="77777777" w:rsidR="005A5390" w:rsidRDefault="00000000">
      <w:pPr>
        <w:jc w:val="both"/>
        <w:rPr>
          <w:rFonts w:eastAsia="Times New Roman"/>
          <w:color w:val="000000"/>
        </w:rPr>
      </w:pPr>
      <w:r>
        <w:rPr>
          <w:rFonts w:eastAsia="Times New Roman"/>
          <w:color w:val="000000"/>
        </w:rPr>
        <w:t xml:space="preserve">Learning other languages and learning about the cultures that </w:t>
      </w:r>
      <w:proofErr w:type="gramStart"/>
      <w:r>
        <w:rPr>
          <w:rFonts w:eastAsia="Times New Roman"/>
          <w:color w:val="000000"/>
        </w:rPr>
        <w:t>speak</w:t>
      </w:r>
      <w:proofErr w:type="gramEnd"/>
      <w:r>
        <w:rPr>
          <w:rFonts w:eastAsia="Times New Roman"/>
          <w:color w:val="000000"/>
        </w:rPr>
        <w:t xml:space="preserve"> them is particularly important in supporting this process of becoming interculturally literate. The very fact of learning another language through immersion and participation in classroom practices not only provides a basis for learning another language (see Rawson, 2022) but also in developing a sense of tolerance for ambiguity - anyone who has not experienced being uncertain about what is being said and of being limited to saying what one can say rather than what one wants to say - can empathize more easily with others in this situation in real life. However, once a certain level of reading competence has been achieved, literature (and image and film) offers us a medium to enter other worlds, described by people using other languages. Whether this is the experience of migrants from Central America fleeing poverty, unemployment, corruption, and violence to enter the United States (where these conditions also exist but where there is at least a possibility of getting out of the poverty trap), or whether it is the stories of migrants from the Maghreb in the Banlieues of Paris, or Syrian, Afghan or Ukrainian refugees and numerous complex and risk-burdened situations around the world - literature can offer us other perspectives. Having other perspectives helps us to establish our own stance, and to recognize that having multiple ways of seeing, is always richer in terms of our own identity work.  </w:t>
      </w:r>
    </w:p>
    <w:p w14:paraId="752EB123" w14:textId="77777777" w:rsidR="005A5390" w:rsidRDefault="00000000">
      <w:pPr>
        <w:jc w:val="both"/>
        <w:rPr>
          <w:rFonts w:eastAsia="Times New Roman"/>
          <w:color w:val="000000"/>
        </w:rPr>
      </w:pPr>
      <w:r>
        <w:rPr>
          <w:rFonts w:eastAsia="Times New Roman"/>
          <w:color w:val="000000"/>
        </w:rPr>
        <w:t>Qualification</w:t>
      </w:r>
    </w:p>
    <w:p w14:paraId="1B4E7B6F" w14:textId="77777777" w:rsidR="005A5390" w:rsidRDefault="005A5390">
      <w:pPr>
        <w:jc w:val="both"/>
        <w:rPr>
          <w:rFonts w:eastAsia="Times New Roman"/>
          <w:color w:val="000000"/>
        </w:rPr>
      </w:pPr>
    </w:p>
    <w:p w14:paraId="2CE22492" w14:textId="77777777" w:rsidR="005A5390" w:rsidRDefault="00000000">
      <w:pPr>
        <w:jc w:val="both"/>
        <w:rPr>
          <w:rFonts w:eastAsia="Times New Roman"/>
          <w:color w:val="000000"/>
        </w:rPr>
      </w:pPr>
      <w:r>
        <w:rPr>
          <w:rFonts w:eastAsia="Times New Roman"/>
          <w:color w:val="000000"/>
        </w:rPr>
        <w:t xml:space="preserve">The task of enabling young people to become qualified, means more than just offering paper qualifications. It means enabling them to learn the skills they need to participate in the economy and civil society to their full potential. Being multi-culturally qualified means understanding what culture is and what it isn’t. We have obviously moved on from the Robinson Crusoe school of intercultural relations – ‘me boss Robinson, you Friday, you servant Friday, first you learn English’. But many still suffer from the illusion that there are such things as cultures with fixed boundaries defined by set racial characteristics, cultural </w:t>
      </w:r>
      <w:proofErr w:type="gramStart"/>
      <w:r>
        <w:rPr>
          <w:rFonts w:eastAsia="Times New Roman"/>
          <w:color w:val="000000"/>
        </w:rPr>
        <w:t>characteristics</w:t>
      </w:r>
      <w:proofErr w:type="gramEnd"/>
      <w:r>
        <w:rPr>
          <w:rFonts w:eastAsia="Times New Roman"/>
          <w:color w:val="000000"/>
        </w:rPr>
        <w:t xml:space="preserve"> and mentality. As Kwame Anthony Appiah (2018) has shown in his book </w:t>
      </w:r>
      <w:r>
        <w:rPr>
          <w:rFonts w:eastAsia="Times New Roman"/>
          <w:i/>
          <w:color w:val="000000"/>
        </w:rPr>
        <w:t>The Lies That Bind</w:t>
      </w:r>
      <w:r>
        <w:rPr>
          <w:rFonts w:eastAsia="Times New Roman"/>
          <w:color w:val="000000"/>
        </w:rPr>
        <w:t xml:space="preserve">, identity is often based on collective identities which often reflect the prejudices of others and historical lies and misunderstandings. Stuart Hall (2017) has shown that identities based on essentialized notions of race, ethnicity and nation are by nature oppressive. This applies to all cultures and not only hybrid cultures of migration groups or ‘translated subjects`. As Hans </w:t>
      </w:r>
      <w:proofErr w:type="spellStart"/>
      <w:r>
        <w:rPr>
          <w:rFonts w:eastAsia="Times New Roman"/>
          <w:color w:val="000000"/>
        </w:rPr>
        <w:t>Hunfeld</w:t>
      </w:r>
      <w:proofErr w:type="spellEnd"/>
      <w:r>
        <w:rPr>
          <w:rFonts w:eastAsia="Times New Roman"/>
          <w:color w:val="000000"/>
        </w:rPr>
        <w:t xml:space="preserve"> (1998) points out in his aptly titled book </w:t>
      </w:r>
      <w:r>
        <w:rPr>
          <w:rFonts w:eastAsia="Times New Roman"/>
          <w:i/>
          <w:color w:val="000000"/>
        </w:rPr>
        <w:t xml:space="preserve">Die </w:t>
      </w:r>
      <w:proofErr w:type="spellStart"/>
      <w:r>
        <w:rPr>
          <w:rFonts w:eastAsia="Times New Roman"/>
          <w:i/>
          <w:color w:val="000000"/>
        </w:rPr>
        <w:t>Normalität</w:t>
      </w:r>
      <w:proofErr w:type="spellEnd"/>
      <w:r>
        <w:rPr>
          <w:rFonts w:eastAsia="Times New Roman"/>
          <w:i/>
          <w:color w:val="000000"/>
        </w:rPr>
        <w:t xml:space="preserve"> des </w:t>
      </w:r>
      <w:proofErr w:type="spellStart"/>
      <w:r>
        <w:rPr>
          <w:rFonts w:eastAsia="Times New Roman"/>
          <w:i/>
          <w:color w:val="000000"/>
        </w:rPr>
        <w:t>Fremden</w:t>
      </w:r>
      <w:proofErr w:type="spellEnd"/>
      <w:r>
        <w:rPr>
          <w:rFonts w:eastAsia="Times New Roman"/>
          <w:color w:val="000000"/>
        </w:rPr>
        <w:t xml:space="preserve"> (the normalness of the other), it is an illusion to imagine we can truly understand the other because to do so would be a colonial gesture, akin to Robinson Crusoe’s. He cites Wittgenstein’s view that if a lion could speak, we still couldn’t understand him. But we can humbly try by keeping quiet and listening.</w:t>
      </w:r>
    </w:p>
    <w:p w14:paraId="7AA1C74F" w14:textId="77777777" w:rsidR="005A5390" w:rsidRDefault="005A5390">
      <w:pPr>
        <w:jc w:val="both"/>
        <w:rPr>
          <w:rFonts w:eastAsia="Times New Roman"/>
          <w:color w:val="000000"/>
        </w:rPr>
      </w:pPr>
    </w:p>
    <w:p w14:paraId="2B680C79" w14:textId="77777777" w:rsidR="005A5390" w:rsidRDefault="00000000">
      <w:pPr>
        <w:jc w:val="both"/>
        <w:rPr>
          <w:b/>
          <w:color w:val="000000"/>
        </w:rPr>
      </w:pPr>
      <w:r>
        <w:rPr>
          <w:b/>
          <w:color w:val="000000"/>
        </w:rPr>
        <w:t>Becoming a subject (subjectification)</w:t>
      </w:r>
    </w:p>
    <w:p w14:paraId="51B351A7" w14:textId="77777777" w:rsidR="005A5390" w:rsidRDefault="005A5390">
      <w:pPr>
        <w:jc w:val="both"/>
        <w:rPr>
          <w:b/>
        </w:rPr>
      </w:pPr>
    </w:p>
    <w:p w14:paraId="67504962" w14:textId="77777777" w:rsidR="005A5390" w:rsidRDefault="00000000">
      <w:pPr>
        <w:jc w:val="both"/>
        <w:rPr>
          <w:rFonts w:eastAsia="Times New Roman"/>
          <w:color w:val="000000"/>
        </w:rPr>
      </w:pPr>
      <w:r>
        <w:rPr>
          <w:rFonts w:eastAsia="Times New Roman"/>
          <w:color w:val="000000"/>
        </w:rPr>
        <w:t xml:space="preserve">Fostering the process of becoming a subject, is about providing opportunities in which the person can become the subject of his or her own life (Biesta 2021). It is about evoking and or </w:t>
      </w:r>
      <w:r>
        <w:rPr>
          <w:rFonts w:eastAsia="Times New Roman"/>
          <w:color w:val="000000"/>
        </w:rPr>
        <w:lastRenderedPageBreak/>
        <w:t xml:space="preserve">challenging the learner's agency. However, it is not about the educational ‘production‘ of the subject, because it is not about the subject being turned into a 'thing-being-produced-by-intervention-from-outside'- but about bringing the subject-ness of the child or young person 'into play' so to speak; helping the child or young person not to forget the possibility of their existence as subject". (Ibid., p.47). </w:t>
      </w:r>
    </w:p>
    <w:p w14:paraId="0E1C2D04" w14:textId="77777777" w:rsidR="005A5390" w:rsidRDefault="005A5390">
      <w:pPr>
        <w:jc w:val="both"/>
        <w:rPr>
          <w:rFonts w:eastAsia="Times New Roman"/>
          <w:color w:val="000000"/>
        </w:rPr>
      </w:pPr>
    </w:p>
    <w:p w14:paraId="69F7A1F5" w14:textId="77777777" w:rsidR="005A5390" w:rsidRDefault="00000000">
      <w:pPr>
        <w:jc w:val="both"/>
        <w:rPr>
          <w:rFonts w:eastAsia="Times New Roman"/>
          <w:color w:val="000000"/>
        </w:rPr>
      </w:pPr>
      <w:r>
        <w:rPr>
          <w:rFonts w:eastAsia="Times New Roman"/>
          <w:color w:val="000000"/>
        </w:rPr>
        <w:t xml:space="preserve">Becoming a subject cannot be taught; it can only take place in events or encounters in which the person is confronted with </w:t>
      </w:r>
      <w:r>
        <w:rPr>
          <w:rFonts w:eastAsia="Times New Roman"/>
          <w:i/>
          <w:color w:val="000000"/>
        </w:rPr>
        <w:t>something</w:t>
      </w:r>
      <w:r>
        <w:rPr>
          <w:rFonts w:eastAsia="Times New Roman"/>
          <w:color w:val="000000"/>
        </w:rPr>
        <w:t xml:space="preserve"> or </w:t>
      </w:r>
      <w:r>
        <w:rPr>
          <w:rFonts w:eastAsia="Times New Roman"/>
          <w:i/>
          <w:color w:val="000000"/>
        </w:rPr>
        <w:t>someone</w:t>
      </w:r>
      <w:r>
        <w:rPr>
          <w:rFonts w:eastAsia="Times New Roman"/>
          <w:color w:val="000000"/>
        </w:rPr>
        <w:t xml:space="preserve">, and the result of the encounter cannot simply be fitted into their existing schema. Such an event may be an encounter with another person or culture, a historical narrative, a work of art or a natural phenomenon. It is </w:t>
      </w:r>
      <w:proofErr w:type="gramStart"/>
      <w:r>
        <w:rPr>
          <w:rFonts w:eastAsia="Times New Roman"/>
          <w:color w:val="000000"/>
        </w:rPr>
        <w:t>in the nature of such</w:t>
      </w:r>
      <w:proofErr w:type="gramEnd"/>
      <w:r>
        <w:rPr>
          <w:rFonts w:eastAsia="Times New Roman"/>
          <w:color w:val="000000"/>
        </w:rPr>
        <w:t xml:space="preserve"> an encounter that it cannot be ignored or easily forgotten, even though it may be rejected or repressed. Such events are a kind of pedagogy of interruption (Biesta, 2019). </w:t>
      </w:r>
    </w:p>
    <w:p w14:paraId="5C0D13FC" w14:textId="77777777" w:rsidR="005A5390" w:rsidRDefault="005A5390">
      <w:pPr>
        <w:jc w:val="both"/>
        <w:rPr>
          <w:rFonts w:eastAsia="Times New Roman"/>
          <w:color w:val="000000"/>
        </w:rPr>
      </w:pPr>
    </w:p>
    <w:p w14:paraId="7CC49E88" w14:textId="77777777" w:rsidR="005A5390" w:rsidRDefault="00000000">
      <w:pPr>
        <w:jc w:val="both"/>
        <w:rPr>
          <w:rFonts w:eastAsia="Times New Roman"/>
          <w:color w:val="000000"/>
        </w:rPr>
      </w:pPr>
      <w:r>
        <w:rPr>
          <w:rFonts w:eastAsia="Times New Roman"/>
          <w:color w:val="000000"/>
        </w:rPr>
        <w:t xml:space="preserve">Biesta links this process of interruption to the quality of adulthood (grown-up-ness) and to being able to take responsibility for our desires. Biesta argues that grown-up-ness is not a suppression of desires, but a process through which our desires receive a reality check, so to speak, by asking the question whether what we desire is, in fact, desirable for our own lives and the lives we live with others. Such a question - and this is educationally important - always poses itself as an interruption of our desires. Such an interruption partly manifests itself through the experience of resistance, and we could even say that when we encounter resistance, we not only encounter the world but, at the very same time, we encounter the desires we have in relation to the world. When we encounter resistance, we could say that the world is trying to tell us something - and perhaps we could even say that the world is trying to </w:t>
      </w:r>
      <w:r>
        <w:rPr>
          <w:rFonts w:eastAsia="Times New Roman"/>
          <w:i/>
          <w:color w:val="000000"/>
        </w:rPr>
        <w:t>teach</w:t>
      </w:r>
      <w:r>
        <w:rPr>
          <w:rFonts w:eastAsia="Times New Roman"/>
          <w:color w:val="000000"/>
        </w:rPr>
        <w:t xml:space="preserve"> us something (Biesta, 2019).</w:t>
      </w:r>
    </w:p>
    <w:p w14:paraId="1E02CE81" w14:textId="77777777" w:rsidR="005A5390" w:rsidRDefault="005A5390">
      <w:pPr>
        <w:jc w:val="both"/>
        <w:rPr>
          <w:rFonts w:eastAsia="Times New Roman"/>
          <w:color w:val="000000"/>
        </w:rPr>
      </w:pPr>
    </w:p>
    <w:p w14:paraId="6CB8F185" w14:textId="77777777" w:rsidR="005A5390" w:rsidRDefault="00000000">
      <w:pPr>
        <w:jc w:val="both"/>
        <w:rPr>
          <w:rFonts w:eastAsia="Times New Roman"/>
          <w:color w:val="000000"/>
        </w:rPr>
      </w:pPr>
      <w:r>
        <w:rPr>
          <w:rFonts w:eastAsia="Times New Roman"/>
          <w:color w:val="000000"/>
        </w:rPr>
        <w:t xml:space="preserve">In discussing the meaning of becoming a subject, Biesta distances himself from the psychological interpretations implicit in the concepts of personality and individuation, which imply explanations of why someone acts and how they are cultivated in a particular culture:  </w:t>
      </w:r>
    </w:p>
    <w:p w14:paraId="0E16602C" w14:textId="77777777" w:rsidR="005A5390" w:rsidRDefault="00000000">
      <w:pPr>
        <w:jc w:val="both"/>
        <w:rPr>
          <w:rFonts w:eastAsia="Times New Roman"/>
          <w:color w:val="000000"/>
        </w:rPr>
      </w:pPr>
      <w:r>
        <w:rPr>
          <w:rFonts w:eastAsia="Times New Roman"/>
          <w:color w:val="000000"/>
        </w:rPr>
        <w:t xml:space="preserve">it is one thing to become an individual through one's interaction with 'culture' in the widest sense possible - the process of cultivation - yet still another to exist as subject in relation to one's individuality, in relation to and </w:t>
      </w:r>
      <w:r>
        <w:rPr>
          <w:rFonts w:eastAsia="Times New Roman"/>
          <w:i/>
          <w:color w:val="000000"/>
        </w:rPr>
        <w:t>with</w:t>
      </w:r>
      <w:r>
        <w:rPr>
          <w:rFonts w:eastAsia="Times New Roman"/>
          <w:color w:val="000000"/>
        </w:rPr>
        <w:t xml:space="preserve"> everything one has gained, learned, acquired and with </w:t>
      </w:r>
      <w:r>
        <w:rPr>
          <w:rFonts w:eastAsia="Times New Roman"/>
          <w:i/>
          <w:color w:val="000000"/>
        </w:rPr>
        <w:t xml:space="preserve">how </w:t>
      </w:r>
      <w:r>
        <w:rPr>
          <w:rFonts w:eastAsia="Times New Roman"/>
          <w:color w:val="000000"/>
        </w:rPr>
        <w:t xml:space="preserve">one has developed. </w:t>
      </w:r>
    </w:p>
    <w:p w14:paraId="0B743E58" w14:textId="77777777" w:rsidR="005A5390" w:rsidRDefault="005A5390">
      <w:pPr>
        <w:jc w:val="both"/>
        <w:rPr>
          <w:rFonts w:eastAsia="Times New Roman"/>
          <w:color w:val="000000"/>
        </w:rPr>
      </w:pPr>
    </w:p>
    <w:p w14:paraId="05887EF4" w14:textId="77777777" w:rsidR="005A5390" w:rsidRDefault="00000000">
      <w:pPr>
        <w:jc w:val="both"/>
        <w:rPr>
          <w:b/>
          <w:color w:val="000000"/>
        </w:rPr>
      </w:pPr>
      <w:r>
        <w:rPr>
          <w:b/>
          <w:color w:val="000000"/>
        </w:rPr>
        <w:t>Identity work</w:t>
      </w:r>
    </w:p>
    <w:p w14:paraId="607B06F8" w14:textId="77777777" w:rsidR="005A5390" w:rsidRDefault="005A5390">
      <w:pPr>
        <w:jc w:val="both"/>
        <w:rPr>
          <w:b/>
        </w:rPr>
      </w:pPr>
    </w:p>
    <w:p w14:paraId="6AC73800" w14:textId="77777777" w:rsidR="005A5390" w:rsidRDefault="00000000">
      <w:pPr>
        <w:jc w:val="both"/>
        <w:rPr>
          <w:rFonts w:eastAsia="Times New Roman"/>
          <w:color w:val="000000"/>
        </w:rPr>
      </w:pPr>
      <w:r>
        <w:rPr>
          <w:rFonts w:eastAsia="Times New Roman"/>
          <w:color w:val="000000"/>
        </w:rPr>
        <w:t xml:space="preserve">Etymologically the word identity suggests “sameness, oneness, state of being the same” ( </w:t>
      </w:r>
      <w:hyperlink r:id="rId9">
        <w:r>
          <w:rPr>
            <w:rFonts w:eastAsia="Times New Roman"/>
            <w:color w:val="0563C1"/>
            <w:u w:val="single"/>
          </w:rPr>
          <w:t>www.etymonline.com/word/identity</w:t>
        </w:r>
      </w:hyperlink>
      <w:r>
        <w:rPr>
          <w:rFonts w:eastAsia="Times New Roman"/>
          <w:color w:val="000000"/>
        </w:rPr>
        <w:t xml:space="preserve">). Although this word is used in sociology and psychology to refer to how people see themselves, the actual activity that young people do is </w:t>
      </w:r>
      <w:r>
        <w:rPr>
          <w:rFonts w:eastAsia="Times New Roman"/>
          <w:i/>
          <w:color w:val="000000"/>
        </w:rPr>
        <w:t>becoming</w:t>
      </w:r>
      <w:r>
        <w:rPr>
          <w:rFonts w:eastAsia="Times New Roman"/>
          <w:color w:val="000000"/>
        </w:rPr>
        <w:t>. Identity really means who I am in a particular place and social position, which is why it is best thought of in the plural form, or even better as a process across time and space. Thus, we can speak of ongoing identity work or production; the ongoing bringing forth, the making, the</w:t>
      </w:r>
      <w:r>
        <w:rPr>
          <w:rFonts w:eastAsia="Times New Roman"/>
          <w:i/>
          <w:color w:val="000000"/>
        </w:rPr>
        <w:t xml:space="preserve"> </w:t>
      </w:r>
      <w:proofErr w:type="spellStart"/>
      <w:r>
        <w:rPr>
          <w:rFonts w:eastAsia="Times New Roman"/>
          <w:i/>
          <w:color w:val="000000"/>
        </w:rPr>
        <w:t>poiesis</w:t>
      </w:r>
      <w:proofErr w:type="spellEnd"/>
      <w:r>
        <w:rPr>
          <w:rFonts w:eastAsia="Times New Roman"/>
          <w:color w:val="000000"/>
        </w:rPr>
        <w:t xml:space="preserve"> of making something useful and meaningful. It is a process of answering the questions: Who am I? How do I see myself? What do I identify with? How do others position me? How do I position myself in relation to others? Becoming a subject means engaging not so much with the question: </w:t>
      </w:r>
      <w:r>
        <w:rPr>
          <w:rFonts w:eastAsia="Times New Roman"/>
          <w:i/>
          <w:color w:val="000000"/>
        </w:rPr>
        <w:t xml:space="preserve">who </w:t>
      </w:r>
      <w:r>
        <w:rPr>
          <w:rFonts w:eastAsia="Times New Roman"/>
          <w:color w:val="000000"/>
        </w:rPr>
        <w:t xml:space="preserve">am I? but rather with the question: </w:t>
      </w:r>
      <w:r>
        <w:rPr>
          <w:rFonts w:eastAsia="Times New Roman"/>
          <w:i/>
          <w:color w:val="000000"/>
        </w:rPr>
        <w:t>how</w:t>
      </w:r>
      <w:r>
        <w:rPr>
          <w:rFonts w:eastAsia="Times New Roman"/>
          <w:color w:val="000000"/>
        </w:rPr>
        <w:t xml:space="preserve"> am I? Thus, the question of subject-ness is of a different order to identity work, which is ongoing and immediate. </w:t>
      </w:r>
    </w:p>
    <w:p w14:paraId="77BC4505" w14:textId="77777777" w:rsidR="005A5390" w:rsidRDefault="005A5390">
      <w:pPr>
        <w:jc w:val="both"/>
        <w:rPr>
          <w:rFonts w:eastAsia="Times New Roman"/>
          <w:color w:val="000000"/>
        </w:rPr>
      </w:pPr>
    </w:p>
    <w:p w14:paraId="0CB0B5C0" w14:textId="77777777" w:rsidR="005A5390" w:rsidRDefault="00000000">
      <w:pPr>
        <w:jc w:val="both"/>
        <w:rPr>
          <w:rFonts w:eastAsia="Times New Roman"/>
          <w:color w:val="000000"/>
        </w:rPr>
      </w:pPr>
      <w:proofErr w:type="spellStart"/>
      <w:r>
        <w:rPr>
          <w:rFonts w:eastAsia="Times New Roman"/>
          <w:color w:val="000000"/>
        </w:rPr>
        <w:t>Hurrelmann</w:t>
      </w:r>
      <w:proofErr w:type="spellEnd"/>
      <w:r>
        <w:rPr>
          <w:rFonts w:eastAsia="Times New Roman"/>
          <w:color w:val="000000"/>
        </w:rPr>
        <w:t xml:space="preserve"> and Bauer’s (2018) account of productive reality processing provides us with a model for understanding the developmental tasks that a young person faces. As they explain, young people in adolescence are constantly confronted with new situations in which </w:t>
      </w:r>
      <w:r>
        <w:rPr>
          <w:rFonts w:eastAsia="Times New Roman"/>
          <w:color w:val="000000"/>
        </w:rPr>
        <w:lastRenderedPageBreak/>
        <w:t xml:space="preserve">developmental tasks </w:t>
      </w:r>
      <w:proofErr w:type="gramStart"/>
      <w:r>
        <w:rPr>
          <w:rFonts w:eastAsia="Times New Roman"/>
          <w:color w:val="000000"/>
        </w:rPr>
        <w:t>have to</w:t>
      </w:r>
      <w:proofErr w:type="gramEnd"/>
      <w:r>
        <w:rPr>
          <w:rFonts w:eastAsia="Times New Roman"/>
          <w:color w:val="000000"/>
        </w:rPr>
        <w:t xml:space="preserve"> be mastered. They </w:t>
      </w:r>
      <w:proofErr w:type="spellStart"/>
      <w:r>
        <w:rPr>
          <w:rFonts w:eastAsia="Times New Roman"/>
          <w:color w:val="000000"/>
        </w:rPr>
        <w:t>summarise</w:t>
      </w:r>
      <w:proofErr w:type="spellEnd"/>
      <w:r>
        <w:rPr>
          <w:rFonts w:eastAsia="Times New Roman"/>
          <w:color w:val="000000"/>
        </w:rPr>
        <w:t xml:space="preserve"> the developmental tasks of adolescence as follows:  </w:t>
      </w:r>
    </w:p>
    <w:p w14:paraId="72392DA3" w14:textId="77777777" w:rsidR="005A5390" w:rsidRDefault="005A5390">
      <w:pPr>
        <w:jc w:val="both"/>
      </w:pPr>
    </w:p>
    <w:p w14:paraId="1698AA79" w14:textId="77777777" w:rsidR="005A5390" w:rsidRDefault="00000000">
      <w:pPr>
        <w:jc w:val="both"/>
        <w:rPr>
          <w:rFonts w:eastAsia="Times New Roman"/>
          <w:color w:val="000000"/>
        </w:rPr>
      </w:pPr>
      <w:r>
        <w:t>“</w:t>
      </w:r>
      <w:proofErr w:type="gramStart"/>
      <w:r>
        <w:rPr>
          <w:rFonts w:eastAsia="Times New Roman"/>
          <w:color w:val="000000"/>
        </w:rPr>
        <w:t>in</w:t>
      </w:r>
      <w:proofErr w:type="gramEnd"/>
      <w:r>
        <w:rPr>
          <w:rFonts w:eastAsia="Times New Roman"/>
          <w:color w:val="000000"/>
        </w:rPr>
        <w:t xml:space="preserve"> adolescence, the change in physical shape has to be accepted, a gender identity has to be developed, school performance has to be strengthened and a detachment from parents has to be initiated. Furthermore, it is a matter of entering into relationships with peers and later also intimate couple relationships, of acting economically and learning to deal with consumption and what social media constantly offer, of building up one's own value system as well as political capacity to act</w:t>
      </w:r>
      <w:r>
        <w:t>”</w:t>
      </w:r>
      <w:r>
        <w:rPr>
          <w:rFonts w:eastAsia="Times New Roman"/>
          <w:color w:val="000000"/>
        </w:rPr>
        <w:t xml:space="preserve"> (2018, p. 107). </w:t>
      </w:r>
    </w:p>
    <w:p w14:paraId="79D098EE" w14:textId="77777777" w:rsidR="005A5390" w:rsidRDefault="005A5390">
      <w:pPr>
        <w:jc w:val="both"/>
        <w:rPr>
          <w:rFonts w:eastAsia="Times New Roman"/>
          <w:color w:val="000000"/>
        </w:rPr>
      </w:pPr>
    </w:p>
    <w:p w14:paraId="5287CC69" w14:textId="77777777" w:rsidR="005A5390" w:rsidRDefault="00000000">
      <w:pPr>
        <w:jc w:val="both"/>
        <w:rPr>
          <w:rFonts w:eastAsia="Times New Roman"/>
          <w:color w:val="000000"/>
        </w:rPr>
      </w:pPr>
      <w:r>
        <w:rPr>
          <w:rFonts w:eastAsia="Times New Roman"/>
          <w:color w:val="000000"/>
        </w:rPr>
        <w:t xml:space="preserve">By successfully accomplishing these tasks, young people construct an identity that mediates between their social identities on the one hand and external realities and their personal identities and internal reality on the other. We can thus speak of young people being involved in a continuous process of constructing and re-constructing coherent and stable identities and that their subjective experiences play an important role in this process. Since the process of identification and positioning is </w:t>
      </w:r>
      <w:proofErr w:type="gramStart"/>
      <w:r>
        <w:rPr>
          <w:rFonts w:eastAsia="Times New Roman"/>
          <w:color w:val="000000"/>
        </w:rPr>
        <w:t>more or less continuous</w:t>
      </w:r>
      <w:proofErr w:type="gramEnd"/>
      <w:r>
        <w:rPr>
          <w:rFonts w:eastAsia="Times New Roman"/>
          <w:color w:val="000000"/>
        </w:rPr>
        <w:t xml:space="preserve"> through social practices, as young people take up positions and are positioned by other people and institutions (Dreier, 2011), it is probably best to view this as a dynamic process. </w:t>
      </w:r>
    </w:p>
    <w:p w14:paraId="3EB9ABFD" w14:textId="77777777" w:rsidR="005A5390" w:rsidRDefault="005A5390">
      <w:pPr>
        <w:jc w:val="both"/>
        <w:rPr>
          <w:b/>
          <w:color w:val="000000"/>
        </w:rPr>
      </w:pPr>
    </w:p>
    <w:p w14:paraId="7407EC90" w14:textId="77777777" w:rsidR="005A5390" w:rsidRDefault="00000000">
      <w:pPr>
        <w:jc w:val="both"/>
        <w:rPr>
          <w:b/>
          <w:color w:val="000000"/>
        </w:rPr>
      </w:pPr>
      <w:r>
        <w:rPr>
          <w:b/>
          <w:color w:val="000000"/>
        </w:rPr>
        <w:t>The tasks of youth education</w:t>
      </w:r>
    </w:p>
    <w:p w14:paraId="6F0B407A" w14:textId="77777777" w:rsidR="005A5390" w:rsidRDefault="005A5390">
      <w:pPr>
        <w:jc w:val="both"/>
        <w:rPr>
          <w:b/>
        </w:rPr>
      </w:pPr>
    </w:p>
    <w:p w14:paraId="1DB58561" w14:textId="77777777" w:rsidR="005A5390" w:rsidRDefault="00000000">
      <w:pPr>
        <w:jc w:val="both"/>
        <w:rPr>
          <w:rFonts w:eastAsia="Times New Roman"/>
          <w:color w:val="000000"/>
        </w:rPr>
      </w:pPr>
      <w:r>
        <w:rPr>
          <w:rFonts w:eastAsia="Times New Roman"/>
          <w:color w:val="000000"/>
        </w:rPr>
        <w:t>Waldorf youth education also understands this process as a transformation through self-activity. "The formation of ego-identity is based on the individual's own performance, which takes place in a living balancing act between personal and social expectations; that is, between self-image and external image" (</w:t>
      </w:r>
      <w:proofErr w:type="spellStart"/>
      <w:r>
        <w:rPr>
          <w:rFonts w:eastAsia="Times New Roman"/>
          <w:color w:val="000000"/>
        </w:rPr>
        <w:t>Zech</w:t>
      </w:r>
      <w:proofErr w:type="spellEnd"/>
      <w:r>
        <w:rPr>
          <w:rFonts w:eastAsia="Times New Roman"/>
          <w:color w:val="000000"/>
        </w:rPr>
        <w:t xml:space="preserve">, 2017, p. 281). </w:t>
      </w:r>
      <w:proofErr w:type="spellStart"/>
      <w:r>
        <w:rPr>
          <w:rFonts w:eastAsia="Times New Roman"/>
          <w:color w:val="000000"/>
        </w:rPr>
        <w:t>Zech</w:t>
      </w:r>
      <w:proofErr w:type="spellEnd"/>
      <w:r>
        <w:rPr>
          <w:rFonts w:eastAsia="Times New Roman"/>
          <w:color w:val="000000"/>
        </w:rPr>
        <w:t xml:space="preserve"> goes on to say that the identification process today is not limited to traditional forms, but is fed by a variety of different sources, including hybrid </w:t>
      </w:r>
      <w:proofErr w:type="spellStart"/>
      <w:r>
        <w:rPr>
          <w:rFonts w:eastAsia="Times New Roman"/>
          <w:color w:val="000000"/>
        </w:rPr>
        <w:t>lifeworlds</w:t>
      </w:r>
      <w:proofErr w:type="spellEnd"/>
      <w:r>
        <w:rPr>
          <w:rFonts w:eastAsia="Times New Roman"/>
          <w:color w:val="000000"/>
        </w:rPr>
        <w:t xml:space="preserve"> and subcultures. </w:t>
      </w:r>
      <w:proofErr w:type="spellStart"/>
      <w:r>
        <w:rPr>
          <w:rFonts w:eastAsia="Times New Roman"/>
          <w:color w:val="000000"/>
        </w:rPr>
        <w:t>Zygmund</w:t>
      </w:r>
      <w:proofErr w:type="spellEnd"/>
      <w:r>
        <w:rPr>
          <w:rFonts w:eastAsia="Times New Roman"/>
          <w:color w:val="000000"/>
        </w:rPr>
        <w:t xml:space="preserve"> Bauman (2008) goes further by claiming that every young person is forced to be a life-artist and juggler who constructs his or her identity from a seemingly endless range of consumerist offerings.</w:t>
      </w:r>
    </w:p>
    <w:p w14:paraId="57CA93DB" w14:textId="77777777" w:rsidR="005A5390" w:rsidRDefault="005A5390">
      <w:pPr>
        <w:jc w:val="both"/>
      </w:pPr>
    </w:p>
    <w:p w14:paraId="11972C8D" w14:textId="77777777" w:rsidR="005A5390" w:rsidRDefault="00000000">
      <w:pPr>
        <w:jc w:val="both"/>
        <w:rPr>
          <w:rFonts w:eastAsia="Times New Roman"/>
          <w:color w:val="000000"/>
        </w:rPr>
      </w:pPr>
      <w:r>
        <w:rPr>
          <w:rFonts w:eastAsia="Times New Roman"/>
          <w:color w:val="000000"/>
        </w:rPr>
        <w:t xml:space="preserve">The unique process of adolescent development reveals something of what Jan </w:t>
      </w:r>
      <w:proofErr w:type="spellStart"/>
      <w:r>
        <w:rPr>
          <w:rFonts w:eastAsia="Times New Roman"/>
          <w:color w:val="000000"/>
        </w:rPr>
        <w:t>Göschel</w:t>
      </w:r>
      <w:proofErr w:type="spellEnd"/>
      <w:r>
        <w:rPr>
          <w:rFonts w:eastAsia="Times New Roman"/>
          <w:color w:val="000000"/>
        </w:rPr>
        <w:t xml:space="preserve"> (2012) calls the biographical myth of the individual. This is based on the idea </w:t>
      </w:r>
      <w:proofErr w:type="gramStart"/>
      <w:r>
        <w:rPr>
          <w:rFonts w:eastAsia="Times New Roman"/>
          <w:color w:val="000000"/>
        </w:rPr>
        <w:t>that,</w:t>
      </w:r>
      <w:proofErr w:type="gramEnd"/>
      <w:r>
        <w:t xml:space="preserve"> </w:t>
      </w:r>
      <w:r>
        <w:rPr>
          <w:rFonts w:eastAsia="Times New Roman"/>
          <w:color w:val="000000"/>
        </w:rPr>
        <w:t xml:space="preserve">every human biography is a life story with its own individual narrative structure. The myth of a story is its narrative core, to which the meaning of all actions goes back and from which the meaning of the individual elements of the narrated events </w:t>
      </w:r>
      <w:proofErr w:type="gramStart"/>
      <w:r>
        <w:rPr>
          <w:rFonts w:eastAsia="Times New Roman"/>
          <w:color w:val="000000"/>
        </w:rPr>
        <w:t>derive</w:t>
      </w:r>
      <w:proofErr w:type="gramEnd"/>
      <w:r>
        <w:rPr>
          <w:rFonts w:eastAsia="Times New Roman"/>
          <w:color w:val="000000"/>
        </w:rPr>
        <w:t xml:space="preserve"> (2012, pp. 22-23). </w:t>
      </w:r>
    </w:p>
    <w:p w14:paraId="6F94D797" w14:textId="77777777" w:rsidR="005A5390" w:rsidRDefault="005A5390">
      <w:pPr>
        <w:jc w:val="both"/>
        <w:rPr>
          <w:rFonts w:eastAsia="Times New Roman"/>
          <w:color w:val="000000"/>
        </w:rPr>
      </w:pPr>
    </w:p>
    <w:p w14:paraId="3C1FA8CD" w14:textId="77777777" w:rsidR="005A5390" w:rsidRDefault="00000000">
      <w:pPr>
        <w:jc w:val="both"/>
        <w:rPr>
          <w:rFonts w:eastAsia="Times New Roman"/>
          <w:color w:val="000000"/>
        </w:rPr>
      </w:pPr>
      <w:r>
        <w:rPr>
          <w:rFonts w:eastAsia="Times New Roman"/>
          <w:color w:val="000000"/>
        </w:rPr>
        <w:t xml:space="preserve">The biographical myth is a narrative that gives meaning to each individual‘s life and development. Each young person can express their own biographical myth indirectly in the way they engage with experiences that are important to them. In school contexts, this can take the form of projects, </w:t>
      </w:r>
      <w:proofErr w:type="gramStart"/>
      <w:r>
        <w:rPr>
          <w:rFonts w:eastAsia="Times New Roman"/>
          <w:color w:val="000000"/>
        </w:rPr>
        <w:t>portfolios</w:t>
      </w:r>
      <w:proofErr w:type="gramEnd"/>
      <w:r>
        <w:rPr>
          <w:rFonts w:eastAsia="Times New Roman"/>
          <w:color w:val="000000"/>
        </w:rPr>
        <w:t xml:space="preserve"> and presentations of all kinds, in which students explore and articulate what is personally meaningful to them in a particular area, especially what they consider biographically significant. This is undoubtedly less the case with </w:t>
      </w:r>
      <w:proofErr w:type="spellStart"/>
      <w:r>
        <w:rPr>
          <w:rFonts w:eastAsia="Times New Roman"/>
          <w:color w:val="000000"/>
        </w:rPr>
        <w:t>standardised</w:t>
      </w:r>
      <w:proofErr w:type="spellEnd"/>
      <w:r>
        <w:rPr>
          <w:rFonts w:eastAsia="Times New Roman"/>
          <w:color w:val="000000"/>
        </w:rPr>
        <w:t xml:space="preserve"> school assignments with explicit expectations of results.</w:t>
      </w:r>
    </w:p>
    <w:p w14:paraId="259B9E82" w14:textId="77777777" w:rsidR="005A5390" w:rsidRDefault="005A5390">
      <w:pPr>
        <w:jc w:val="both"/>
        <w:rPr>
          <w:rFonts w:eastAsia="Times New Roman"/>
          <w:color w:val="000000"/>
        </w:rPr>
      </w:pPr>
    </w:p>
    <w:p w14:paraId="5E1CB97E" w14:textId="77777777" w:rsidR="005A5390" w:rsidRDefault="00000000">
      <w:pPr>
        <w:jc w:val="both"/>
        <w:rPr>
          <w:b/>
          <w:color w:val="000000"/>
        </w:rPr>
      </w:pPr>
      <w:r>
        <w:rPr>
          <w:b/>
          <w:color w:val="000000"/>
        </w:rPr>
        <w:t>Postcolonialism as a teaching topic</w:t>
      </w:r>
    </w:p>
    <w:p w14:paraId="0F04EF91" w14:textId="77777777" w:rsidR="005A5390" w:rsidRDefault="005A5390">
      <w:pPr>
        <w:jc w:val="both"/>
        <w:rPr>
          <w:b/>
        </w:rPr>
      </w:pPr>
    </w:p>
    <w:p w14:paraId="4B674A84" w14:textId="77777777" w:rsidR="005A5390" w:rsidRDefault="00000000">
      <w:pPr>
        <w:jc w:val="both"/>
        <w:rPr>
          <w:rFonts w:eastAsia="Times New Roman"/>
          <w:color w:val="000000"/>
        </w:rPr>
      </w:pPr>
      <w:r>
        <w:rPr>
          <w:rFonts w:eastAsia="Times New Roman"/>
          <w:color w:val="000000"/>
        </w:rPr>
        <w:t xml:space="preserve">Postcolonial literature and texts encompass a range of issues that go beyond colonial history in the narrow sense. These include injustice and social justice, discrimination of all kinds, racism, oppression, political activism, identity and emancipation, </w:t>
      </w:r>
      <w:proofErr w:type="gramStart"/>
      <w:r>
        <w:rPr>
          <w:rFonts w:eastAsia="Times New Roman"/>
          <w:color w:val="000000"/>
        </w:rPr>
        <w:t>inclusion</w:t>
      </w:r>
      <w:proofErr w:type="gramEnd"/>
      <w:r>
        <w:rPr>
          <w:rFonts w:eastAsia="Times New Roman"/>
          <w:color w:val="000000"/>
        </w:rPr>
        <w:t xml:space="preserve"> and exclusion. Undoubtedly, these are relevant to young people. </w:t>
      </w:r>
    </w:p>
    <w:p w14:paraId="54A296AC" w14:textId="77777777" w:rsidR="005A5390" w:rsidRDefault="005A5390">
      <w:pPr>
        <w:jc w:val="both"/>
        <w:rPr>
          <w:rFonts w:eastAsia="Times New Roman"/>
          <w:color w:val="000000"/>
        </w:rPr>
      </w:pPr>
    </w:p>
    <w:p w14:paraId="7C7B33D3" w14:textId="77777777" w:rsidR="005A5390" w:rsidRDefault="00000000">
      <w:pPr>
        <w:jc w:val="both"/>
        <w:rPr>
          <w:rFonts w:eastAsia="Times New Roman"/>
          <w:color w:val="000000"/>
        </w:rPr>
      </w:pPr>
      <w:r>
        <w:rPr>
          <w:rFonts w:eastAsia="Times New Roman"/>
          <w:color w:val="000000"/>
        </w:rPr>
        <w:t xml:space="preserve">In English classes, there is considerably more freedom as far as content is concerned than in other subjects such as history, literature in the main language of instruction, or geography, which many people may not think of as having a postcolonial dimension, but as Edward Said in his book </w:t>
      </w:r>
      <w:r>
        <w:rPr>
          <w:rFonts w:eastAsia="Times New Roman"/>
          <w:i/>
          <w:color w:val="000000"/>
        </w:rPr>
        <w:t>Orientalism</w:t>
      </w:r>
      <w:r>
        <w:rPr>
          <w:rFonts w:eastAsia="Times New Roman"/>
          <w:color w:val="000000"/>
        </w:rPr>
        <w:t xml:space="preserve"> (1978) made clear, the production of hierarchical spaces such as West, East, North and South have cultural and postcolonial dimensions, including the polarities of urban spaces as civilization and nature as non- or uncivilized spaces. Foreign language lessons (and the </w:t>
      </w:r>
      <w:r>
        <w:rPr>
          <w:rFonts w:eastAsia="Times New Roman"/>
          <w:i/>
          <w:color w:val="000000"/>
        </w:rPr>
        <w:t>othering</w:t>
      </w:r>
      <w:r>
        <w:rPr>
          <w:rFonts w:eastAsia="Times New Roman"/>
          <w:color w:val="000000"/>
        </w:rPr>
        <w:t xml:space="preserve"> word foreign urgently needs decolonizing) in Steiner/Waldorf education have considerably more freedom in having no </w:t>
      </w:r>
      <w:proofErr w:type="gramStart"/>
      <w:r>
        <w:rPr>
          <w:rFonts w:eastAsia="Times New Roman"/>
          <w:color w:val="000000"/>
        </w:rPr>
        <w:t>particular syllabus</w:t>
      </w:r>
      <w:proofErr w:type="gramEnd"/>
      <w:r>
        <w:rPr>
          <w:rFonts w:eastAsia="Times New Roman"/>
          <w:color w:val="000000"/>
        </w:rPr>
        <w:t xml:space="preserve"> other than learning the language and thus can address  topics other subjects may avoid or exclude, particularly through literature. Language opens doors to notions of culture and hybridity (including in-between-ness) and culturally inscribed boundaries between cultures that </w:t>
      </w:r>
      <w:proofErr w:type="spellStart"/>
      <w:r>
        <w:rPr>
          <w:rFonts w:eastAsia="Times New Roman"/>
          <w:color w:val="000000"/>
        </w:rPr>
        <w:t>Homi</w:t>
      </w:r>
      <w:proofErr w:type="spellEnd"/>
      <w:r>
        <w:rPr>
          <w:rFonts w:eastAsia="Times New Roman"/>
          <w:color w:val="000000"/>
        </w:rPr>
        <w:t xml:space="preserve"> Bhabha (1994) described. </w:t>
      </w:r>
    </w:p>
    <w:p w14:paraId="1D8022B6" w14:textId="77777777" w:rsidR="005A5390" w:rsidRDefault="005A5390">
      <w:pPr>
        <w:jc w:val="both"/>
        <w:rPr>
          <w:rFonts w:eastAsia="Times New Roman"/>
          <w:color w:val="000000"/>
        </w:rPr>
      </w:pPr>
    </w:p>
    <w:p w14:paraId="57C059BC" w14:textId="77777777" w:rsidR="005A5390" w:rsidRDefault="00000000">
      <w:pPr>
        <w:jc w:val="both"/>
        <w:rPr>
          <w:rFonts w:eastAsia="Times New Roman"/>
          <w:color w:val="000000"/>
        </w:rPr>
      </w:pPr>
      <w:r>
        <w:rPr>
          <w:rFonts w:eastAsia="Times New Roman"/>
          <w:color w:val="000000"/>
        </w:rPr>
        <w:t xml:space="preserve">In recent years at my school, a three-week epoch (90 minutes each day) has been taught on postcolonial short stories, for which there is a wealth of material (see the list of recommended literature below, which is only a start!). Apart from looking at the original text sources, which are always the starting point, students are encouraged to discuss, </w:t>
      </w:r>
      <w:proofErr w:type="gramStart"/>
      <w:r>
        <w:rPr>
          <w:rFonts w:eastAsia="Times New Roman"/>
          <w:color w:val="000000"/>
        </w:rPr>
        <w:t>research</w:t>
      </w:r>
      <w:proofErr w:type="gramEnd"/>
      <w:r>
        <w:rPr>
          <w:rFonts w:eastAsia="Times New Roman"/>
          <w:color w:val="000000"/>
        </w:rPr>
        <w:t xml:space="preserve"> and reflect on what aspects of these themes are important to them. Individual responses vary greatly, and students with migration and refugee backgrounds have very different biographical interests in these topics. For this reason, the role of the teacher is to provide access to the works, formulate a set of tasks, provide feedback, but otherwise stand back. </w:t>
      </w:r>
    </w:p>
    <w:p w14:paraId="093F754A" w14:textId="77777777" w:rsidR="005A5390" w:rsidRDefault="005A5390">
      <w:pPr>
        <w:jc w:val="both"/>
        <w:rPr>
          <w:rFonts w:eastAsia="Times New Roman"/>
          <w:color w:val="000000"/>
        </w:rPr>
      </w:pPr>
    </w:p>
    <w:p w14:paraId="62835240" w14:textId="77777777" w:rsidR="005A5390" w:rsidRDefault="00000000">
      <w:pPr>
        <w:jc w:val="both"/>
        <w:rPr>
          <w:rFonts w:eastAsia="Times New Roman"/>
          <w:color w:val="000000"/>
        </w:rPr>
      </w:pPr>
      <w:r>
        <w:rPr>
          <w:rFonts w:eastAsia="Times New Roman"/>
          <w:color w:val="000000"/>
        </w:rPr>
        <w:t xml:space="preserve">These postcolonial themes raise interesting questions of identity, especially for students with a migrant background or those who </w:t>
      </w:r>
      <w:proofErr w:type="gramStart"/>
      <w:r>
        <w:rPr>
          <w:rFonts w:eastAsia="Times New Roman"/>
          <w:color w:val="000000"/>
        </w:rPr>
        <w:t>are non-white or non-Christian</w:t>
      </w:r>
      <w:proofErr w:type="gramEnd"/>
      <w:r>
        <w:rPr>
          <w:rFonts w:eastAsia="Times New Roman"/>
          <w:color w:val="000000"/>
        </w:rPr>
        <w:t xml:space="preserve">. Those who were born as </w:t>
      </w:r>
      <w:proofErr w:type="gramStart"/>
      <w:r>
        <w:rPr>
          <w:rFonts w:eastAsia="Times New Roman"/>
          <w:color w:val="000000"/>
        </w:rPr>
        <w:t>second generation</w:t>
      </w:r>
      <w:proofErr w:type="gramEnd"/>
      <w:r>
        <w:rPr>
          <w:rFonts w:eastAsia="Times New Roman"/>
          <w:color w:val="000000"/>
        </w:rPr>
        <w:t xml:space="preserve"> migrants in Germany may experience hybrid identities. For students from white European backgrounds, it is in some ways more difficult to situate their cultural identity than their gender or lifestyle, and they may need to be challenged to position themselves or put themselves in the shoes of others. In a class of mixed ethnic and religious backgrounds that the author recently experienced, there seemed to be complex hierarchies between students from Turkish or Middle Eastern and Muslim backgrounds and students from Asian or African (mostly Christian) backgrounds. The process could be described as a cautious and tentative mutual exploration of identities. </w:t>
      </w:r>
    </w:p>
    <w:p w14:paraId="62F74E32" w14:textId="77777777" w:rsidR="005A5390" w:rsidRDefault="005A5390">
      <w:pPr>
        <w:jc w:val="both"/>
        <w:rPr>
          <w:rFonts w:eastAsia="Times New Roman"/>
          <w:color w:val="000000"/>
        </w:rPr>
      </w:pPr>
    </w:p>
    <w:p w14:paraId="447FB20D" w14:textId="77777777" w:rsidR="005A5390" w:rsidRDefault="00000000">
      <w:pPr>
        <w:jc w:val="both"/>
        <w:rPr>
          <w:rFonts w:eastAsia="Times New Roman"/>
          <w:color w:val="000000"/>
        </w:rPr>
      </w:pPr>
      <w:r>
        <w:rPr>
          <w:rFonts w:eastAsia="Times New Roman"/>
          <w:color w:val="000000"/>
        </w:rPr>
        <w:t xml:space="preserve">The level of becoming a subject is often only reached pedagogically when the individual is either confronted with a crisis or when the </w:t>
      </w:r>
      <w:proofErr w:type="gramStart"/>
      <w:r>
        <w:rPr>
          <w:rFonts w:eastAsia="Times New Roman"/>
          <w:color w:val="000000"/>
        </w:rPr>
        <w:t>content</w:t>
      </w:r>
      <w:proofErr w:type="gramEnd"/>
      <w:r>
        <w:rPr>
          <w:rFonts w:eastAsia="Times New Roman"/>
          <w:color w:val="000000"/>
        </w:rPr>
        <w:t xml:space="preserve"> they are dealing with is shocking and unjust (e.g. the death of George Floyd or the news of the use of pepper spray against a child who was attacked by the police while ‘breaking into’ his parents' house). A reading such as excerpts from Frantz Fanon's </w:t>
      </w:r>
      <w:r>
        <w:rPr>
          <w:rFonts w:eastAsia="Times New Roman"/>
          <w:i/>
          <w:color w:val="000000"/>
        </w:rPr>
        <w:t>Black Skin</w:t>
      </w:r>
      <w:r>
        <w:rPr>
          <w:rFonts w:eastAsia="Times New Roman"/>
          <w:color w:val="000000"/>
        </w:rPr>
        <w:t xml:space="preserve">, </w:t>
      </w:r>
      <w:r>
        <w:rPr>
          <w:rFonts w:eastAsia="Times New Roman"/>
          <w:i/>
          <w:color w:val="000000"/>
        </w:rPr>
        <w:t>White Masks</w:t>
      </w:r>
      <w:r>
        <w:rPr>
          <w:rFonts w:eastAsia="Times New Roman"/>
          <w:color w:val="000000"/>
        </w:rPr>
        <w:t xml:space="preserve"> or </w:t>
      </w:r>
      <w:proofErr w:type="spellStart"/>
      <w:r>
        <w:rPr>
          <w:rFonts w:eastAsia="Times New Roman"/>
          <w:color w:val="000000"/>
        </w:rPr>
        <w:t>Pettina</w:t>
      </w:r>
      <w:proofErr w:type="spellEnd"/>
      <w:r>
        <w:rPr>
          <w:rFonts w:eastAsia="Times New Roman"/>
          <w:color w:val="000000"/>
        </w:rPr>
        <w:t xml:space="preserve"> </w:t>
      </w:r>
      <w:proofErr w:type="spellStart"/>
      <w:r>
        <w:rPr>
          <w:rFonts w:eastAsia="Times New Roman"/>
          <w:color w:val="000000"/>
        </w:rPr>
        <w:t>Gappa's</w:t>
      </w:r>
      <w:proofErr w:type="spellEnd"/>
      <w:r>
        <w:rPr>
          <w:rFonts w:eastAsia="Times New Roman"/>
          <w:color w:val="000000"/>
        </w:rPr>
        <w:t xml:space="preserve"> </w:t>
      </w:r>
      <w:proofErr w:type="spellStart"/>
      <w:r>
        <w:rPr>
          <w:rFonts w:eastAsia="Times New Roman"/>
          <w:i/>
          <w:color w:val="000000"/>
        </w:rPr>
        <w:t>Elergy</w:t>
      </w:r>
      <w:proofErr w:type="spellEnd"/>
      <w:r>
        <w:rPr>
          <w:rFonts w:eastAsia="Times New Roman"/>
          <w:i/>
          <w:color w:val="000000"/>
        </w:rPr>
        <w:t xml:space="preserve"> for Easterly</w:t>
      </w:r>
      <w:r>
        <w:rPr>
          <w:rFonts w:eastAsia="Times New Roman"/>
          <w:color w:val="000000"/>
        </w:rPr>
        <w:t xml:space="preserve"> can also have this effect. Postcolonial literature that itself raises questions of </w:t>
      </w:r>
      <w:proofErr w:type="spellStart"/>
      <w:r>
        <w:rPr>
          <w:rFonts w:eastAsia="Times New Roman"/>
          <w:color w:val="000000"/>
        </w:rPr>
        <w:t>Westernised</w:t>
      </w:r>
      <w:proofErr w:type="spellEnd"/>
      <w:r>
        <w:rPr>
          <w:rFonts w:eastAsia="Times New Roman"/>
          <w:color w:val="000000"/>
        </w:rPr>
        <w:t xml:space="preserve"> </w:t>
      </w:r>
      <w:proofErr w:type="spellStart"/>
      <w:r>
        <w:rPr>
          <w:rFonts w:eastAsia="Times New Roman"/>
          <w:color w:val="000000"/>
        </w:rPr>
        <w:t>modernisation</w:t>
      </w:r>
      <w:proofErr w:type="spellEnd"/>
      <w:r>
        <w:rPr>
          <w:rFonts w:eastAsia="Times New Roman"/>
          <w:color w:val="000000"/>
        </w:rPr>
        <w:t xml:space="preserve"> versus traditions, such as Chinua Achebe's </w:t>
      </w:r>
      <w:r>
        <w:rPr>
          <w:rFonts w:eastAsia="Times New Roman"/>
          <w:i/>
          <w:color w:val="000000"/>
        </w:rPr>
        <w:t xml:space="preserve">Dead </w:t>
      </w:r>
      <w:proofErr w:type="spellStart"/>
      <w:r>
        <w:rPr>
          <w:rFonts w:eastAsia="Times New Roman"/>
          <w:i/>
          <w:color w:val="000000"/>
        </w:rPr>
        <w:t>Mens</w:t>
      </w:r>
      <w:proofErr w:type="spellEnd"/>
      <w:r>
        <w:rPr>
          <w:rFonts w:eastAsia="Times New Roman"/>
          <w:i/>
          <w:color w:val="000000"/>
        </w:rPr>
        <w:t>' Path</w:t>
      </w:r>
      <w:r>
        <w:rPr>
          <w:rFonts w:eastAsia="Times New Roman"/>
          <w:color w:val="000000"/>
        </w:rPr>
        <w:t>, also raises challenging questions of identity and positioning for readers. Anger alone is not necessarily a sign of becoming a subject, but the full awareness of the significance of such events can trigger a strong inner motive in a young person.</w:t>
      </w:r>
    </w:p>
    <w:p w14:paraId="71DE670C" w14:textId="77777777" w:rsidR="005A5390" w:rsidRDefault="005A5390">
      <w:pPr>
        <w:jc w:val="both"/>
        <w:rPr>
          <w:b/>
          <w:color w:val="000000"/>
        </w:rPr>
      </w:pPr>
    </w:p>
    <w:p w14:paraId="7C243EC0" w14:textId="77777777" w:rsidR="005A5390" w:rsidRDefault="00000000">
      <w:pPr>
        <w:jc w:val="both"/>
        <w:rPr>
          <w:b/>
          <w:color w:val="000000"/>
        </w:rPr>
      </w:pPr>
      <w:r>
        <w:rPr>
          <w:b/>
          <w:color w:val="000000"/>
        </w:rPr>
        <w:t xml:space="preserve">Postcolonial literature as interruption </w:t>
      </w:r>
    </w:p>
    <w:p w14:paraId="158854A6" w14:textId="77777777" w:rsidR="005A5390" w:rsidRDefault="005A5390">
      <w:pPr>
        <w:jc w:val="both"/>
        <w:rPr>
          <w:b/>
        </w:rPr>
      </w:pPr>
    </w:p>
    <w:p w14:paraId="2A241263" w14:textId="77777777" w:rsidR="005A5390" w:rsidRDefault="00000000">
      <w:pPr>
        <w:jc w:val="both"/>
        <w:rPr>
          <w:rFonts w:eastAsia="Times New Roman"/>
          <w:color w:val="000000"/>
        </w:rPr>
      </w:pPr>
      <w:r>
        <w:rPr>
          <w:rFonts w:eastAsia="Times New Roman"/>
          <w:color w:val="000000"/>
        </w:rPr>
        <w:t xml:space="preserve">Literature, poetry, </w:t>
      </w:r>
      <w:proofErr w:type="gramStart"/>
      <w:r>
        <w:rPr>
          <w:rFonts w:eastAsia="Times New Roman"/>
          <w:color w:val="000000"/>
        </w:rPr>
        <w:t>film</w:t>
      </w:r>
      <w:proofErr w:type="gramEnd"/>
      <w:r>
        <w:rPr>
          <w:rFonts w:eastAsia="Times New Roman"/>
          <w:color w:val="000000"/>
        </w:rPr>
        <w:t xml:space="preserve"> and image can provide young people with opportunities for interruption from the familiar and from social and cultural certainties. For white students in the majority the confrontation with post-colonial literature can be a shocking discovery, for students of </w:t>
      </w:r>
      <w:proofErr w:type="spellStart"/>
      <w:r>
        <w:rPr>
          <w:rFonts w:eastAsia="Times New Roman"/>
          <w:color w:val="000000"/>
        </w:rPr>
        <w:t>colour</w:t>
      </w:r>
      <w:proofErr w:type="spellEnd"/>
      <w:r>
        <w:rPr>
          <w:rFonts w:eastAsia="Times New Roman"/>
          <w:color w:val="000000"/>
        </w:rPr>
        <w:t xml:space="preserve"> or from minority backgrounds, it can provide moments of recognition of black and </w:t>
      </w:r>
      <w:r>
        <w:rPr>
          <w:rFonts w:eastAsia="Times New Roman"/>
          <w:color w:val="000000"/>
        </w:rPr>
        <w:lastRenderedPageBreak/>
        <w:t>minority voices and identification. Confronted by the facts of racism and slavery, young people may experience feelings of guilt and irritation, “Ok, I get it, but it’s not my fault” (e.g. white males), or anger and self-righteousness (among the rest). This can lead to further polarization. Literature, however, can offer a more nuanced and aesthetic access to such themes, not least when a Gadamerian hermeneutic approach is used.</w:t>
      </w:r>
    </w:p>
    <w:p w14:paraId="44E22EA4" w14:textId="77777777" w:rsidR="005A5390" w:rsidRDefault="005A5390">
      <w:pPr>
        <w:jc w:val="both"/>
        <w:rPr>
          <w:rFonts w:eastAsia="Times New Roman"/>
          <w:color w:val="000000"/>
        </w:rPr>
      </w:pPr>
    </w:p>
    <w:p w14:paraId="342418C7" w14:textId="77777777" w:rsidR="005A5390" w:rsidRDefault="00000000">
      <w:pPr>
        <w:jc w:val="both"/>
        <w:rPr>
          <w:rFonts w:eastAsia="Times New Roman"/>
          <w:color w:val="000000"/>
        </w:rPr>
      </w:pPr>
      <w:r>
        <w:rPr>
          <w:rFonts w:eastAsia="Times New Roman"/>
          <w:color w:val="000000"/>
        </w:rPr>
        <w:t xml:space="preserve">This can start with the students ‘downloading’ their prior assumptions, </w:t>
      </w:r>
      <w:proofErr w:type="gramStart"/>
      <w:r>
        <w:rPr>
          <w:rFonts w:eastAsia="Times New Roman"/>
          <w:color w:val="000000"/>
        </w:rPr>
        <w:t>knowledge</w:t>
      </w:r>
      <w:proofErr w:type="gramEnd"/>
      <w:r>
        <w:rPr>
          <w:rFonts w:eastAsia="Times New Roman"/>
          <w:color w:val="000000"/>
        </w:rPr>
        <w:t xml:space="preserve"> and prejudices as the starting horizon for their engagement. The next step is an empathic analysis. This means putting the narrative content into your own words, whilst walking a mile in the author’s metaphorical shoes, without further judgement or comment (what happens? where and when is this located? Who does what to whom and why?). The third step is exploring the wider content, the author’s biography, </w:t>
      </w:r>
      <w:proofErr w:type="spellStart"/>
      <w:r>
        <w:rPr>
          <w:rFonts w:eastAsia="Times New Roman"/>
          <w:color w:val="000000"/>
        </w:rPr>
        <w:t>analysing</w:t>
      </w:r>
      <w:proofErr w:type="spellEnd"/>
      <w:r>
        <w:rPr>
          <w:rFonts w:eastAsia="Times New Roman"/>
          <w:color w:val="000000"/>
        </w:rPr>
        <w:t xml:space="preserve"> what effects the text prompts in us as readers, how the author uses literary devices to keep us interested and finally, a reflection on how engaging with this text has modified or even caused major shifts in our existing horizon – the Gadamerian fusion of horizons. Such a hermeneutic approach enables the students to appreciate the text in an aesthetic sense, which includes opening </w:t>
      </w:r>
      <w:proofErr w:type="gramStart"/>
      <w:r>
        <w:rPr>
          <w:rFonts w:eastAsia="Times New Roman"/>
          <w:color w:val="000000"/>
        </w:rPr>
        <w:t>ourselves</w:t>
      </w:r>
      <w:proofErr w:type="gramEnd"/>
      <w:r>
        <w:rPr>
          <w:rFonts w:eastAsia="Times New Roman"/>
          <w:color w:val="000000"/>
        </w:rPr>
        <w:t xml:space="preserve"> to it and being willing to be changed by it. </w:t>
      </w:r>
    </w:p>
    <w:p w14:paraId="67D763E8" w14:textId="77777777" w:rsidR="005A5390" w:rsidRDefault="005A5390">
      <w:pPr>
        <w:jc w:val="both"/>
        <w:rPr>
          <w:rFonts w:eastAsia="Times New Roman"/>
          <w:color w:val="000000"/>
        </w:rPr>
      </w:pPr>
    </w:p>
    <w:p w14:paraId="4D209E69" w14:textId="77777777" w:rsidR="005A5390" w:rsidRDefault="00000000">
      <w:pPr>
        <w:jc w:val="both"/>
        <w:rPr>
          <w:rFonts w:eastAsia="Times New Roman"/>
          <w:color w:val="000000"/>
        </w:rPr>
      </w:pPr>
      <w:r>
        <w:rPr>
          <w:rFonts w:eastAsia="Times New Roman"/>
          <w:color w:val="000000"/>
        </w:rPr>
        <w:t xml:space="preserve">Techniques such as enacting scenes, dramatizing prose, creative writing prompted by the original text, relocating the setting into a more familiar location, writing articles addressing the themes in the piece, composing lyrics to a song or rap and so on, can further encourage both agency and engaging with the themes. </w:t>
      </w:r>
    </w:p>
    <w:p w14:paraId="776A07E5" w14:textId="77777777" w:rsidR="005A5390" w:rsidRDefault="005A5390">
      <w:pPr>
        <w:jc w:val="both"/>
        <w:rPr>
          <w:rFonts w:eastAsia="Times New Roman"/>
          <w:color w:val="000000"/>
        </w:rPr>
      </w:pPr>
    </w:p>
    <w:p w14:paraId="39BDCFA8" w14:textId="77777777" w:rsidR="005A5390" w:rsidRDefault="00000000">
      <w:pPr>
        <w:jc w:val="both"/>
        <w:rPr>
          <w:b/>
          <w:color w:val="000000"/>
        </w:rPr>
      </w:pPr>
      <w:r>
        <w:rPr>
          <w:b/>
          <w:color w:val="000000"/>
        </w:rPr>
        <w:t>Conclusion</w:t>
      </w:r>
    </w:p>
    <w:p w14:paraId="41D4366C" w14:textId="77777777" w:rsidR="005A5390" w:rsidRDefault="005A5390">
      <w:pPr>
        <w:jc w:val="both"/>
        <w:rPr>
          <w:b/>
        </w:rPr>
      </w:pPr>
    </w:p>
    <w:p w14:paraId="0538B7A3" w14:textId="77777777" w:rsidR="005A5390" w:rsidRDefault="00000000">
      <w:pPr>
        <w:jc w:val="both"/>
        <w:rPr>
          <w:rFonts w:eastAsia="Times New Roman"/>
          <w:color w:val="000000"/>
        </w:rPr>
      </w:pPr>
      <w:r>
        <w:rPr>
          <w:rFonts w:eastAsia="Times New Roman"/>
          <w:color w:val="000000"/>
        </w:rPr>
        <w:t xml:space="preserve">The act of reading and talking about literature in another language is already an interruption of normal linguistic procedures and identity work. The content, context, characters, </w:t>
      </w:r>
      <w:proofErr w:type="gramStart"/>
      <w:r>
        <w:rPr>
          <w:rFonts w:eastAsia="Times New Roman"/>
          <w:color w:val="000000"/>
        </w:rPr>
        <w:t>crises</w:t>
      </w:r>
      <w:proofErr w:type="gramEnd"/>
      <w:r>
        <w:rPr>
          <w:rFonts w:eastAsia="Times New Roman"/>
          <w:color w:val="000000"/>
        </w:rPr>
        <w:t xml:space="preserve"> and challenges in a classic work, such as </w:t>
      </w:r>
      <w:r>
        <w:rPr>
          <w:rFonts w:eastAsia="Times New Roman"/>
          <w:i/>
          <w:color w:val="000000"/>
        </w:rPr>
        <w:t>Dead Men’s Paths</w:t>
      </w:r>
      <w:r>
        <w:rPr>
          <w:rFonts w:eastAsia="Times New Roman"/>
          <w:color w:val="000000"/>
        </w:rPr>
        <w:t xml:space="preserve"> by Chinua Achebe, can prompt young people to take positions (spiritual tradition versus modernity) and inspire them to acts of creativity, perhaps more than the kind of texts that are often used for foreign language learning. Of course, a great short story without this theme, such as “Water” by Fred </w:t>
      </w:r>
      <w:proofErr w:type="spellStart"/>
      <w:r>
        <w:rPr>
          <w:rFonts w:eastAsia="Times New Roman"/>
          <w:color w:val="000000"/>
        </w:rPr>
        <w:t>Leeborn</w:t>
      </w:r>
      <w:proofErr w:type="spellEnd"/>
      <w:r>
        <w:rPr>
          <w:rFonts w:eastAsia="Times New Roman"/>
          <w:color w:val="000000"/>
        </w:rPr>
        <w:t xml:space="preserve">, can do something similar, but the intercultural issue of </w:t>
      </w:r>
      <w:proofErr w:type="gramStart"/>
      <w:r>
        <w:rPr>
          <w:rFonts w:eastAsia="Times New Roman"/>
          <w:color w:val="000000"/>
        </w:rPr>
        <w:t>other-ness</w:t>
      </w:r>
      <w:proofErr w:type="gramEnd"/>
      <w:r>
        <w:rPr>
          <w:rFonts w:eastAsia="Times New Roman"/>
          <w:color w:val="000000"/>
        </w:rPr>
        <w:t xml:space="preserve"> is not prominent. However, I feel we have a responsibility to introduce young people to the whole question of postcolonialism and the English lesson seems the place to do it.</w:t>
      </w:r>
    </w:p>
    <w:p w14:paraId="6BE998FE" w14:textId="77777777" w:rsidR="005A5390" w:rsidRDefault="005A5390">
      <w:pPr>
        <w:jc w:val="both"/>
        <w:rPr>
          <w:rFonts w:eastAsia="Times New Roman"/>
          <w:color w:val="000000"/>
        </w:rPr>
      </w:pPr>
    </w:p>
    <w:p w14:paraId="7B9F2BA0" w14:textId="77777777" w:rsidR="005A5390" w:rsidRDefault="00000000">
      <w:pPr>
        <w:jc w:val="both"/>
        <w:rPr>
          <w:b/>
          <w:color w:val="000000"/>
        </w:rPr>
      </w:pPr>
      <w:r>
        <w:rPr>
          <w:b/>
          <w:color w:val="000000"/>
        </w:rPr>
        <w:t>References</w:t>
      </w:r>
    </w:p>
    <w:p w14:paraId="245993EF" w14:textId="77777777" w:rsidR="005A5390" w:rsidRDefault="005A5390">
      <w:pPr>
        <w:jc w:val="both"/>
        <w:rPr>
          <w:rFonts w:eastAsia="Times New Roman"/>
          <w:color w:val="000000"/>
        </w:rPr>
      </w:pPr>
    </w:p>
    <w:p w14:paraId="1B8D0694" w14:textId="77777777" w:rsidR="005A5390" w:rsidRDefault="00000000">
      <w:pPr>
        <w:ind w:left="720" w:right="-720" w:hanging="720"/>
        <w:jc w:val="both"/>
      </w:pPr>
      <w:r>
        <w:t xml:space="preserve">Appiah, K. A. (2019). </w:t>
      </w:r>
      <w:r>
        <w:rPr>
          <w:i/>
        </w:rPr>
        <w:t xml:space="preserve">Lies That Bind. Creed, Country, </w:t>
      </w:r>
      <w:proofErr w:type="spellStart"/>
      <w:r>
        <w:rPr>
          <w:i/>
        </w:rPr>
        <w:t>Colour</w:t>
      </w:r>
      <w:proofErr w:type="spellEnd"/>
      <w:r>
        <w:rPr>
          <w:i/>
        </w:rPr>
        <w:t>, Class, Culture</w:t>
      </w:r>
      <w:r>
        <w:t xml:space="preserve">. Profile Books. </w:t>
      </w:r>
    </w:p>
    <w:p w14:paraId="0C420B93" w14:textId="77777777" w:rsidR="005A5390" w:rsidRDefault="005A5390">
      <w:pPr>
        <w:ind w:left="720" w:right="-720" w:hanging="720"/>
        <w:jc w:val="both"/>
      </w:pPr>
    </w:p>
    <w:p w14:paraId="5CC2B588" w14:textId="77777777" w:rsidR="005A5390" w:rsidRDefault="00000000">
      <w:pPr>
        <w:ind w:left="720" w:right="-720" w:hanging="720"/>
        <w:jc w:val="both"/>
      </w:pPr>
      <w:r>
        <w:t xml:space="preserve">Bauman, Z. (2007). </w:t>
      </w:r>
      <w:r>
        <w:rPr>
          <w:i/>
        </w:rPr>
        <w:t>Liquid Times: Living in an age of Uncertainty</w:t>
      </w:r>
      <w:r>
        <w:t xml:space="preserve">. Polity. </w:t>
      </w:r>
    </w:p>
    <w:p w14:paraId="34BB05E9" w14:textId="77777777" w:rsidR="005A5390" w:rsidRDefault="005A5390">
      <w:pPr>
        <w:ind w:left="720" w:right="-720" w:hanging="720"/>
        <w:jc w:val="both"/>
      </w:pPr>
    </w:p>
    <w:p w14:paraId="05DE9DE1" w14:textId="77777777" w:rsidR="005A5390" w:rsidRDefault="00000000">
      <w:pPr>
        <w:ind w:left="720" w:right="-720" w:hanging="720"/>
        <w:jc w:val="both"/>
      </w:pPr>
      <w:r>
        <w:t xml:space="preserve">Bauman, Z. (2008). </w:t>
      </w:r>
      <w:r>
        <w:rPr>
          <w:i/>
        </w:rPr>
        <w:t>The Art of Life</w:t>
      </w:r>
      <w:r>
        <w:t>. Polity.</w:t>
      </w:r>
    </w:p>
    <w:p w14:paraId="485B793C" w14:textId="77777777" w:rsidR="005A5390" w:rsidRDefault="005A5390">
      <w:pPr>
        <w:ind w:left="720" w:right="-720" w:hanging="720"/>
        <w:jc w:val="both"/>
      </w:pPr>
    </w:p>
    <w:p w14:paraId="7846CAFC" w14:textId="77777777" w:rsidR="005A5390" w:rsidRDefault="00000000">
      <w:pPr>
        <w:ind w:left="720" w:right="-720" w:hanging="720"/>
        <w:jc w:val="both"/>
      </w:pPr>
      <w:r>
        <w:t xml:space="preserve">Bhabha, H. K. (1994). </w:t>
      </w:r>
      <w:r>
        <w:rPr>
          <w:i/>
        </w:rPr>
        <w:t>The Location of Culture</w:t>
      </w:r>
      <w:r>
        <w:t xml:space="preserve">. Routledge. </w:t>
      </w:r>
    </w:p>
    <w:p w14:paraId="4EE61DBB" w14:textId="77777777" w:rsidR="005A5390" w:rsidRDefault="005A5390">
      <w:pPr>
        <w:ind w:left="720" w:right="-720" w:hanging="720"/>
        <w:jc w:val="both"/>
      </w:pPr>
    </w:p>
    <w:p w14:paraId="6D0F7642" w14:textId="77777777" w:rsidR="005A5390" w:rsidRDefault="00000000">
      <w:pPr>
        <w:ind w:left="720" w:right="-720" w:hanging="720"/>
        <w:jc w:val="both"/>
      </w:pPr>
      <w:r>
        <w:t xml:space="preserve">Biesta , G. J. J. (2019). What is the Educational Task? Arousing desire for wanting to exist in the world in a grown-up way. </w:t>
      </w:r>
      <w:proofErr w:type="spellStart"/>
      <w:r>
        <w:rPr>
          <w:i/>
        </w:rPr>
        <w:t>Pedagogia</w:t>
      </w:r>
      <w:proofErr w:type="spellEnd"/>
      <w:r>
        <w:rPr>
          <w:i/>
        </w:rPr>
        <w:t xml:space="preserve"> y </w:t>
      </w:r>
      <w:proofErr w:type="spellStart"/>
      <w:r>
        <w:rPr>
          <w:i/>
        </w:rPr>
        <w:t>Saberes</w:t>
      </w:r>
      <w:proofErr w:type="spellEnd"/>
      <w:r>
        <w:t>,</w:t>
      </w:r>
      <w:r>
        <w:rPr>
          <w:i/>
        </w:rPr>
        <w:t xml:space="preserve"> 50</w:t>
      </w:r>
      <w:r>
        <w:t xml:space="preserve">, 51-61. </w:t>
      </w:r>
    </w:p>
    <w:p w14:paraId="0538AE54" w14:textId="77777777" w:rsidR="005A5390" w:rsidRDefault="005A5390">
      <w:pPr>
        <w:ind w:left="720" w:right="-720" w:hanging="720"/>
        <w:jc w:val="both"/>
      </w:pPr>
    </w:p>
    <w:p w14:paraId="6A8472CD" w14:textId="77777777" w:rsidR="005A5390" w:rsidRDefault="00000000">
      <w:pPr>
        <w:ind w:left="720" w:right="-720" w:hanging="720"/>
        <w:jc w:val="both"/>
      </w:pPr>
      <w:r>
        <w:t xml:space="preserve">Biesta , G. J. J. (2021). </w:t>
      </w:r>
      <w:r>
        <w:rPr>
          <w:i/>
        </w:rPr>
        <w:t>World-</w:t>
      </w:r>
      <w:proofErr w:type="spellStart"/>
      <w:r>
        <w:rPr>
          <w:i/>
        </w:rPr>
        <w:t>Centred</w:t>
      </w:r>
      <w:proofErr w:type="spellEnd"/>
      <w:r>
        <w:rPr>
          <w:i/>
        </w:rPr>
        <w:t xml:space="preserve"> Education. A view for the present</w:t>
      </w:r>
      <w:r>
        <w:t xml:space="preserve">. Routledge. </w:t>
      </w:r>
    </w:p>
    <w:p w14:paraId="76351BB4" w14:textId="77777777" w:rsidR="005A5390" w:rsidRDefault="005A5390">
      <w:pPr>
        <w:ind w:left="720" w:right="-720" w:hanging="720"/>
        <w:jc w:val="both"/>
      </w:pPr>
    </w:p>
    <w:p w14:paraId="6E74C48B" w14:textId="77777777" w:rsidR="005A5390" w:rsidRDefault="00000000">
      <w:pPr>
        <w:ind w:left="720" w:right="-720" w:hanging="720"/>
        <w:jc w:val="both"/>
      </w:pPr>
      <w:r>
        <w:lastRenderedPageBreak/>
        <w:t xml:space="preserve">Dreier, O. (2011). Personality and conduct of everyday life. </w:t>
      </w:r>
      <w:r>
        <w:rPr>
          <w:i/>
        </w:rPr>
        <w:t>Nordic Psychology</w:t>
      </w:r>
      <w:r>
        <w:t>,</w:t>
      </w:r>
      <w:r>
        <w:rPr>
          <w:i/>
        </w:rPr>
        <w:t xml:space="preserve"> 63</w:t>
      </w:r>
      <w:r>
        <w:t>(2), 4-23.</w:t>
      </w:r>
    </w:p>
    <w:p w14:paraId="10A507F4" w14:textId="77777777" w:rsidR="005A5390" w:rsidRDefault="005A5390">
      <w:pPr>
        <w:ind w:left="720" w:right="-720" w:hanging="720"/>
        <w:jc w:val="both"/>
      </w:pPr>
    </w:p>
    <w:p w14:paraId="262ECE12" w14:textId="77777777" w:rsidR="005A5390" w:rsidRDefault="00000000">
      <w:pPr>
        <w:ind w:right="-720"/>
        <w:jc w:val="both"/>
      </w:pPr>
      <w:proofErr w:type="spellStart"/>
      <w:r>
        <w:t>Göschel</w:t>
      </w:r>
      <w:proofErr w:type="spellEnd"/>
      <w:r>
        <w:t xml:space="preserve">, J. C. (2012). </w:t>
      </w:r>
      <w:r>
        <w:rPr>
          <w:i/>
        </w:rPr>
        <w:t xml:space="preserve">Der </w:t>
      </w:r>
      <w:proofErr w:type="spellStart"/>
      <w:r>
        <w:rPr>
          <w:i/>
        </w:rPr>
        <w:t>biographische</w:t>
      </w:r>
      <w:proofErr w:type="spellEnd"/>
      <w:r>
        <w:rPr>
          <w:i/>
        </w:rPr>
        <w:t xml:space="preserve"> Mythos </w:t>
      </w:r>
      <w:proofErr w:type="spellStart"/>
      <w:r>
        <w:rPr>
          <w:i/>
        </w:rPr>
        <w:t>als</w:t>
      </w:r>
      <w:proofErr w:type="spellEnd"/>
      <w:r>
        <w:rPr>
          <w:i/>
        </w:rPr>
        <w:t xml:space="preserve"> </w:t>
      </w:r>
      <w:proofErr w:type="spellStart"/>
      <w:r>
        <w:rPr>
          <w:i/>
        </w:rPr>
        <w:t>pädagogisches</w:t>
      </w:r>
      <w:proofErr w:type="spellEnd"/>
      <w:r>
        <w:rPr>
          <w:i/>
        </w:rPr>
        <w:t xml:space="preserve"> </w:t>
      </w:r>
      <w:proofErr w:type="spellStart"/>
      <w:r>
        <w:rPr>
          <w:i/>
        </w:rPr>
        <w:t>Leitbild</w:t>
      </w:r>
      <w:proofErr w:type="spellEnd"/>
      <w:r>
        <w:rPr>
          <w:i/>
        </w:rPr>
        <w:t xml:space="preserve">: </w:t>
      </w:r>
      <w:proofErr w:type="spellStart"/>
      <w:r>
        <w:rPr>
          <w:i/>
        </w:rPr>
        <w:t>Transdisziplinäre</w:t>
      </w:r>
      <w:proofErr w:type="spellEnd"/>
      <w:r>
        <w:rPr>
          <w:i/>
        </w:rPr>
        <w:t xml:space="preserve"> </w:t>
      </w:r>
      <w:proofErr w:type="spellStart"/>
      <w:r>
        <w:rPr>
          <w:i/>
        </w:rPr>
        <w:t>Förderplanung</w:t>
      </w:r>
      <w:proofErr w:type="spellEnd"/>
      <w:r>
        <w:rPr>
          <w:i/>
        </w:rPr>
        <w:t xml:space="preserve"> auf </w:t>
      </w:r>
      <w:proofErr w:type="spellStart"/>
      <w:r>
        <w:rPr>
          <w:i/>
        </w:rPr>
        <w:t>Grundlage</w:t>
      </w:r>
      <w:proofErr w:type="spellEnd"/>
      <w:r>
        <w:rPr>
          <w:i/>
        </w:rPr>
        <w:t xml:space="preserve"> der </w:t>
      </w:r>
      <w:proofErr w:type="spellStart"/>
      <w:r>
        <w:rPr>
          <w:i/>
        </w:rPr>
        <w:t>Kinderkonferenz</w:t>
      </w:r>
      <w:proofErr w:type="spellEnd"/>
      <w:r>
        <w:rPr>
          <w:i/>
        </w:rPr>
        <w:t xml:space="preserve"> in der </w:t>
      </w:r>
      <w:proofErr w:type="spellStart"/>
      <w:r>
        <w:rPr>
          <w:i/>
        </w:rPr>
        <w:t>anthroposophischen</w:t>
      </w:r>
      <w:proofErr w:type="spellEnd"/>
      <w:r>
        <w:rPr>
          <w:i/>
        </w:rPr>
        <w:t xml:space="preserve"> </w:t>
      </w:r>
      <w:proofErr w:type="spellStart"/>
      <w:r>
        <w:rPr>
          <w:i/>
        </w:rPr>
        <w:t>Heilpädagogik</w:t>
      </w:r>
      <w:proofErr w:type="spellEnd"/>
      <w:r>
        <w:rPr>
          <w:i/>
        </w:rPr>
        <w:t xml:space="preserve"> (Biographical myth as pedagogical leading thought: Transdisciplinary learning support </w:t>
      </w:r>
      <w:proofErr w:type="gramStart"/>
      <w:r>
        <w:rPr>
          <w:i/>
        </w:rPr>
        <w:t>on the basis of</w:t>
      </w:r>
      <w:proofErr w:type="gramEnd"/>
      <w:r>
        <w:rPr>
          <w:i/>
        </w:rPr>
        <w:t xml:space="preserve"> the child study process in anthroposophical curative education)</w:t>
      </w:r>
      <w:r>
        <w:t xml:space="preserve">. Verlag am </w:t>
      </w:r>
      <w:proofErr w:type="spellStart"/>
      <w:r>
        <w:t>Goetheanum</w:t>
      </w:r>
      <w:proofErr w:type="spellEnd"/>
      <w:r>
        <w:t xml:space="preserve"> Athena. </w:t>
      </w:r>
    </w:p>
    <w:p w14:paraId="6CA44561" w14:textId="77777777" w:rsidR="005A5390" w:rsidRDefault="005A5390">
      <w:pPr>
        <w:ind w:left="720" w:right="-720" w:hanging="720"/>
        <w:jc w:val="both"/>
      </w:pPr>
    </w:p>
    <w:p w14:paraId="750686F5" w14:textId="77777777" w:rsidR="005A5390" w:rsidRDefault="00000000">
      <w:pPr>
        <w:ind w:left="720" w:right="-720" w:hanging="720"/>
        <w:jc w:val="both"/>
      </w:pPr>
      <w:r>
        <w:t xml:space="preserve">Hall, S. (2017). </w:t>
      </w:r>
      <w:r>
        <w:rPr>
          <w:i/>
        </w:rPr>
        <w:t>The Fateful Triangle: Race Ethnicity nation</w:t>
      </w:r>
      <w:r>
        <w:t xml:space="preserve">. Harvard University Press. </w:t>
      </w:r>
    </w:p>
    <w:p w14:paraId="1674546D" w14:textId="77777777" w:rsidR="005A5390" w:rsidRDefault="005A5390">
      <w:pPr>
        <w:ind w:left="720" w:right="-720" w:hanging="720"/>
        <w:jc w:val="both"/>
      </w:pPr>
    </w:p>
    <w:p w14:paraId="07D790F9" w14:textId="77777777" w:rsidR="005A5390" w:rsidRDefault="00000000">
      <w:pPr>
        <w:ind w:left="720" w:right="-720" w:hanging="720"/>
        <w:jc w:val="both"/>
      </w:pPr>
      <w:proofErr w:type="spellStart"/>
      <w:r>
        <w:t>Hunfeld</w:t>
      </w:r>
      <w:proofErr w:type="spellEnd"/>
      <w:r>
        <w:t xml:space="preserve">, H. (1996). </w:t>
      </w:r>
      <w:r>
        <w:rPr>
          <w:i/>
        </w:rPr>
        <w:t xml:space="preserve">Die </w:t>
      </w:r>
      <w:proofErr w:type="spellStart"/>
      <w:r>
        <w:rPr>
          <w:i/>
        </w:rPr>
        <w:t>Normalität</w:t>
      </w:r>
      <w:proofErr w:type="spellEnd"/>
      <w:r>
        <w:rPr>
          <w:i/>
        </w:rPr>
        <w:t xml:space="preserve"> des </w:t>
      </w:r>
      <w:proofErr w:type="spellStart"/>
      <w:r>
        <w:rPr>
          <w:i/>
        </w:rPr>
        <w:t>Fremden</w:t>
      </w:r>
      <w:proofErr w:type="spellEnd"/>
      <w:r>
        <w:t xml:space="preserve">. </w:t>
      </w:r>
      <w:proofErr w:type="spellStart"/>
      <w:r>
        <w:t>Heidrun</w:t>
      </w:r>
      <w:proofErr w:type="spellEnd"/>
      <w:r>
        <w:t xml:space="preserve"> Popp. </w:t>
      </w:r>
    </w:p>
    <w:p w14:paraId="73E15CD9" w14:textId="77777777" w:rsidR="005A5390" w:rsidRDefault="005A5390">
      <w:pPr>
        <w:ind w:left="720" w:right="-720" w:hanging="720"/>
        <w:jc w:val="both"/>
      </w:pPr>
    </w:p>
    <w:p w14:paraId="27B3DA1C" w14:textId="77777777" w:rsidR="005A5390" w:rsidRDefault="00000000">
      <w:pPr>
        <w:ind w:left="720" w:right="-720" w:hanging="720"/>
        <w:jc w:val="both"/>
      </w:pPr>
      <w:proofErr w:type="spellStart"/>
      <w:r>
        <w:t>Hurrelmann</w:t>
      </w:r>
      <w:proofErr w:type="spellEnd"/>
      <w:r>
        <w:t xml:space="preserve"> , K., &amp; Bauer , H. P. (2018). </w:t>
      </w:r>
      <w:proofErr w:type="spellStart"/>
      <w:r>
        <w:rPr>
          <w:i/>
        </w:rPr>
        <w:t>Socialisation</w:t>
      </w:r>
      <w:proofErr w:type="spellEnd"/>
      <w:r>
        <w:rPr>
          <w:i/>
        </w:rPr>
        <w:t xml:space="preserve"> during the Life Course</w:t>
      </w:r>
      <w:r>
        <w:t xml:space="preserve">. Routledge. </w:t>
      </w:r>
    </w:p>
    <w:p w14:paraId="39C31F97" w14:textId="77777777" w:rsidR="005A5390" w:rsidRDefault="005A5390">
      <w:pPr>
        <w:ind w:left="720" w:right="-720" w:hanging="720"/>
        <w:jc w:val="both"/>
      </w:pPr>
    </w:p>
    <w:p w14:paraId="0D9FBF45" w14:textId="77777777" w:rsidR="005A5390" w:rsidRDefault="00000000">
      <w:pPr>
        <w:ind w:left="720" w:right="-720" w:hanging="720"/>
        <w:jc w:val="both"/>
      </w:pPr>
      <w:r>
        <w:t xml:space="preserve">Rawson, M. (2021). </w:t>
      </w:r>
      <w:r>
        <w:rPr>
          <w:i/>
        </w:rPr>
        <w:t>Steiner Waldorf Pedagogy in Schools . A critical introduction</w:t>
      </w:r>
      <w:r>
        <w:t xml:space="preserve">. Routledge. </w:t>
      </w:r>
    </w:p>
    <w:p w14:paraId="4479849F" w14:textId="77777777" w:rsidR="005A5390" w:rsidRDefault="005A5390">
      <w:pPr>
        <w:ind w:left="720" w:right="-720" w:hanging="720"/>
        <w:jc w:val="both"/>
      </w:pPr>
    </w:p>
    <w:p w14:paraId="04E19757" w14:textId="77777777" w:rsidR="005A5390" w:rsidRDefault="00000000">
      <w:pPr>
        <w:ind w:right="-720"/>
        <w:jc w:val="both"/>
      </w:pPr>
      <w:r>
        <w:t xml:space="preserve">Rawson, M. (2022). L2 teaching and learning in Waldorf schools- why performative? </w:t>
      </w:r>
      <w:r>
        <w:rPr>
          <w:i/>
        </w:rPr>
        <w:t>Scenario: Journal for Performative Teaching, Learning, Research</w:t>
      </w:r>
      <w:r>
        <w:t>,</w:t>
      </w:r>
      <w:r>
        <w:rPr>
          <w:i/>
        </w:rPr>
        <w:t xml:space="preserve"> XII</w:t>
      </w:r>
      <w:r>
        <w:t xml:space="preserve">(2). </w:t>
      </w:r>
    </w:p>
    <w:p w14:paraId="5D779455" w14:textId="77777777" w:rsidR="005A5390" w:rsidRDefault="005A5390">
      <w:pPr>
        <w:ind w:left="720" w:right="-720" w:hanging="720"/>
        <w:jc w:val="both"/>
      </w:pPr>
    </w:p>
    <w:p w14:paraId="4F8275C4" w14:textId="77777777" w:rsidR="005A5390" w:rsidRDefault="00000000">
      <w:pPr>
        <w:ind w:left="720" w:right="-720" w:hanging="720"/>
        <w:jc w:val="both"/>
      </w:pPr>
      <w:r>
        <w:t xml:space="preserve">Said, E. W. (1979/2003). </w:t>
      </w:r>
      <w:r>
        <w:rPr>
          <w:i/>
        </w:rPr>
        <w:t>Orientalism</w:t>
      </w:r>
      <w:r>
        <w:t xml:space="preserve">. Random House. </w:t>
      </w:r>
    </w:p>
    <w:p w14:paraId="5AECC7D4" w14:textId="77777777" w:rsidR="005A5390" w:rsidRDefault="005A5390">
      <w:pPr>
        <w:ind w:left="720" w:right="-720" w:hanging="720"/>
        <w:jc w:val="both"/>
      </w:pPr>
    </w:p>
    <w:p w14:paraId="48BAF1DF" w14:textId="77777777" w:rsidR="005A5390" w:rsidRDefault="00000000">
      <w:pPr>
        <w:ind w:right="-720"/>
        <w:jc w:val="both"/>
      </w:pPr>
      <w:proofErr w:type="spellStart"/>
      <w:r>
        <w:t>Zech</w:t>
      </w:r>
      <w:proofErr w:type="spellEnd"/>
      <w:r>
        <w:t xml:space="preserve">, M. M. (2017). </w:t>
      </w:r>
      <w:proofErr w:type="spellStart"/>
      <w:r>
        <w:t>Anthroposophische</w:t>
      </w:r>
      <w:proofErr w:type="spellEnd"/>
      <w:r>
        <w:t xml:space="preserve"> </w:t>
      </w:r>
      <w:proofErr w:type="spellStart"/>
      <w:r>
        <w:t>Jugendpädagogik</w:t>
      </w:r>
      <w:proofErr w:type="spellEnd"/>
      <w:r>
        <w:t xml:space="preserve"> und die </w:t>
      </w:r>
      <w:proofErr w:type="spellStart"/>
      <w:r>
        <w:t>Herausforderungen</w:t>
      </w:r>
      <w:proofErr w:type="spellEnd"/>
      <w:r>
        <w:t xml:space="preserve"> des </w:t>
      </w:r>
      <w:proofErr w:type="spellStart"/>
      <w:r>
        <w:t>früher</w:t>
      </w:r>
      <w:proofErr w:type="spellEnd"/>
      <w:r>
        <w:t xml:space="preserve"> 21. </w:t>
      </w:r>
      <w:proofErr w:type="spellStart"/>
      <w:r>
        <w:t>Jahrhunderts</w:t>
      </w:r>
      <w:proofErr w:type="spellEnd"/>
      <w:r>
        <w:t xml:space="preserve">. In A. </w:t>
      </w:r>
      <w:proofErr w:type="spellStart"/>
      <w:r>
        <w:t>Wiehl</w:t>
      </w:r>
      <w:proofErr w:type="spellEnd"/>
      <w:r>
        <w:t xml:space="preserve">  &amp; M. M. </w:t>
      </w:r>
      <w:proofErr w:type="spellStart"/>
      <w:r>
        <w:t>Zech</w:t>
      </w:r>
      <w:proofErr w:type="spellEnd"/>
      <w:r>
        <w:t xml:space="preserve"> (Eds.), </w:t>
      </w:r>
      <w:proofErr w:type="spellStart"/>
      <w:r>
        <w:rPr>
          <w:i/>
        </w:rPr>
        <w:t>Jugendpädagogik</w:t>
      </w:r>
      <w:proofErr w:type="spellEnd"/>
      <w:r>
        <w:rPr>
          <w:i/>
        </w:rPr>
        <w:t xml:space="preserve"> in der </w:t>
      </w:r>
      <w:proofErr w:type="spellStart"/>
      <w:r>
        <w:rPr>
          <w:i/>
        </w:rPr>
        <w:t>Waldorfschule</w:t>
      </w:r>
      <w:proofErr w:type="spellEnd"/>
      <w:r>
        <w:rPr>
          <w:i/>
        </w:rPr>
        <w:t xml:space="preserve">. </w:t>
      </w:r>
      <w:proofErr w:type="spellStart"/>
      <w:r>
        <w:rPr>
          <w:i/>
        </w:rPr>
        <w:t>Studienbuch</w:t>
      </w:r>
      <w:proofErr w:type="spellEnd"/>
      <w:r>
        <w:t xml:space="preserve"> (pp. 277-316). </w:t>
      </w:r>
    </w:p>
    <w:p w14:paraId="46DDDA64" w14:textId="77777777" w:rsidR="005A5390" w:rsidRDefault="005A5390">
      <w:pPr>
        <w:jc w:val="both"/>
      </w:pPr>
    </w:p>
    <w:p w14:paraId="48101B20" w14:textId="77777777" w:rsidR="005A5390" w:rsidRDefault="005A5390">
      <w:pPr>
        <w:jc w:val="both"/>
      </w:pPr>
    </w:p>
    <w:p w14:paraId="2CED6A93" w14:textId="77777777" w:rsidR="005A5390" w:rsidRDefault="00000000">
      <w:pPr>
        <w:jc w:val="both"/>
        <w:rPr>
          <w:b/>
          <w:color w:val="000000"/>
        </w:rPr>
      </w:pPr>
      <w:r>
        <w:rPr>
          <w:b/>
          <w:color w:val="000000"/>
        </w:rPr>
        <w:t xml:space="preserve">References to reading literature referred to in the </w:t>
      </w:r>
      <w:proofErr w:type="gramStart"/>
      <w:r>
        <w:rPr>
          <w:b/>
          <w:color w:val="000000"/>
        </w:rPr>
        <w:t>text</w:t>
      </w:r>
      <w:proofErr w:type="gramEnd"/>
      <w:r>
        <w:rPr>
          <w:b/>
          <w:color w:val="000000"/>
        </w:rPr>
        <w:t xml:space="preserve"> </w:t>
      </w:r>
    </w:p>
    <w:p w14:paraId="2B1E5BFA" w14:textId="77777777" w:rsidR="005A5390" w:rsidRDefault="005A5390">
      <w:pPr>
        <w:jc w:val="both"/>
        <w:rPr>
          <w:rFonts w:eastAsia="Times New Roman"/>
          <w:color w:val="000000"/>
        </w:rPr>
      </w:pPr>
    </w:p>
    <w:p w14:paraId="46BB3FBD" w14:textId="77777777" w:rsidR="005A5390" w:rsidRDefault="00000000">
      <w:pPr>
        <w:jc w:val="both"/>
        <w:rPr>
          <w:rFonts w:eastAsia="Times New Roman"/>
          <w:color w:val="000000"/>
        </w:rPr>
      </w:pPr>
      <w:r>
        <w:rPr>
          <w:rFonts w:eastAsia="Times New Roman"/>
          <w:color w:val="000000"/>
        </w:rPr>
        <w:t xml:space="preserve">Chinua Achebe (2005/1953) </w:t>
      </w:r>
      <w:r>
        <w:rPr>
          <w:rFonts w:eastAsia="Times New Roman"/>
          <w:i/>
          <w:color w:val="000000"/>
        </w:rPr>
        <w:t>Dead Man’s Path</w:t>
      </w:r>
      <w:r>
        <w:rPr>
          <w:rFonts w:eastAsia="Times New Roman"/>
          <w:color w:val="000000"/>
        </w:rPr>
        <w:t xml:space="preserve">. In </w:t>
      </w:r>
      <w:proofErr w:type="spellStart"/>
      <w:r>
        <w:rPr>
          <w:rFonts w:eastAsia="Times New Roman"/>
          <w:color w:val="000000"/>
        </w:rPr>
        <w:t>Butzko</w:t>
      </w:r>
      <w:proofErr w:type="spellEnd"/>
      <w:r>
        <w:rPr>
          <w:rFonts w:eastAsia="Times New Roman"/>
          <w:color w:val="000000"/>
        </w:rPr>
        <w:t xml:space="preserve">, E. &amp; </w:t>
      </w:r>
      <w:proofErr w:type="spellStart"/>
      <w:r>
        <w:rPr>
          <w:rFonts w:eastAsia="Times New Roman"/>
          <w:color w:val="000000"/>
        </w:rPr>
        <w:t>Pongartz</w:t>
      </w:r>
      <w:proofErr w:type="spellEnd"/>
      <w:r>
        <w:rPr>
          <w:rFonts w:eastAsia="Times New Roman"/>
          <w:color w:val="000000"/>
        </w:rPr>
        <w:t xml:space="preserve">, S. Caught between </w:t>
      </w:r>
    </w:p>
    <w:p w14:paraId="18891F29" w14:textId="77777777" w:rsidR="005A5390" w:rsidRDefault="00000000">
      <w:pPr>
        <w:jc w:val="both"/>
        <w:rPr>
          <w:rFonts w:eastAsia="Times New Roman"/>
          <w:color w:val="000000"/>
        </w:rPr>
      </w:pPr>
      <w:r>
        <w:rPr>
          <w:rFonts w:eastAsia="Times New Roman"/>
          <w:color w:val="000000"/>
        </w:rPr>
        <w:t xml:space="preserve">Cultures. </w:t>
      </w:r>
      <w:proofErr w:type="spellStart"/>
      <w:r>
        <w:rPr>
          <w:rFonts w:eastAsia="Times New Roman"/>
          <w:color w:val="000000"/>
        </w:rPr>
        <w:t>Klett</w:t>
      </w:r>
      <w:proofErr w:type="spellEnd"/>
      <w:r>
        <w:rPr>
          <w:rFonts w:eastAsia="Times New Roman"/>
          <w:color w:val="000000"/>
        </w:rPr>
        <w:t xml:space="preserve">. </w:t>
      </w:r>
    </w:p>
    <w:p w14:paraId="5F7D3824" w14:textId="77777777" w:rsidR="005A5390" w:rsidRDefault="005A5390">
      <w:pPr>
        <w:ind w:firstLine="720"/>
        <w:jc w:val="both"/>
      </w:pPr>
    </w:p>
    <w:p w14:paraId="61DFAB85" w14:textId="77777777" w:rsidR="005A5390" w:rsidRDefault="00000000">
      <w:pPr>
        <w:jc w:val="both"/>
        <w:rPr>
          <w:rFonts w:eastAsia="Times New Roman"/>
          <w:color w:val="000000"/>
        </w:rPr>
      </w:pPr>
      <w:proofErr w:type="spellStart"/>
      <w:r>
        <w:rPr>
          <w:rFonts w:eastAsia="Times New Roman"/>
          <w:color w:val="000000"/>
        </w:rPr>
        <w:t>Aravand</w:t>
      </w:r>
      <w:proofErr w:type="spellEnd"/>
      <w:r>
        <w:rPr>
          <w:rFonts w:eastAsia="Times New Roman"/>
          <w:color w:val="000000"/>
        </w:rPr>
        <w:t xml:space="preserve"> </w:t>
      </w:r>
      <w:proofErr w:type="spellStart"/>
      <w:r>
        <w:rPr>
          <w:rFonts w:eastAsia="Times New Roman"/>
          <w:color w:val="000000"/>
        </w:rPr>
        <w:t>Adiga</w:t>
      </w:r>
      <w:proofErr w:type="spellEnd"/>
      <w:r>
        <w:rPr>
          <w:rFonts w:eastAsia="Times New Roman"/>
          <w:color w:val="000000"/>
        </w:rPr>
        <w:t xml:space="preserve">. (2008) </w:t>
      </w:r>
      <w:r>
        <w:rPr>
          <w:rFonts w:eastAsia="Times New Roman"/>
          <w:i/>
          <w:color w:val="000000"/>
        </w:rPr>
        <w:t>The White Tiger.</w:t>
      </w:r>
      <w:r>
        <w:rPr>
          <w:rFonts w:eastAsia="Times New Roman"/>
          <w:color w:val="000000"/>
        </w:rPr>
        <w:t xml:space="preserve"> Atlantic </w:t>
      </w:r>
      <w:proofErr w:type="gramStart"/>
      <w:r>
        <w:rPr>
          <w:rFonts w:eastAsia="Times New Roman"/>
          <w:color w:val="000000"/>
        </w:rPr>
        <w:t>Books..</w:t>
      </w:r>
      <w:proofErr w:type="gramEnd"/>
    </w:p>
    <w:p w14:paraId="5CC4037A" w14:textId="77777777" w:rsidR="005A5390" w:rsidRDefault="005A5390">
      <w:pPr>
        <w:jc w:val="both"/>
      </w:pPr>
    </w:p>
    <w:p w14:paraId="66C64A51" w14:textId="77777777" w:rsidR="005A5390" w:rsidRDefault="00000000">
      <w:pPr>
        <w:jc w:val="both"/>
        <w:rPr>
          <w:rFonts w:eastAsia="Times New Roman"/>
          <w:color w:val="000000"/>
        </w:rPr>
      </w:pPr>
      <w:proofErr w:type="spellStart"/>
      <w:r>
        <w:rPr>
          <w:rFonts w:eastAsia="Times New Roman"/>
          <w:color w:val="000000"/>
        </w:rPr>
        <w:t>Assia</w:t>
      </w:r>
      <w:proofErr w:type="spellEnd"/>
      <w:r>
        <w:rPr>
          <w:rFonts w:eastAsia="Times New Roman"/>
          <w:color w:val="000000"/>
        </w:rPr>
        <w:t xml:space="preserve"> Djebar (1999) </w:t>
      </w:r>
      <w:r>
        <w:rPr>
          <w:rFonts w:eastAsia="Times New Roman"/>
          <w:i/>
          <w:color w:val="000000"/>
        </w:rPr>
        <w:t xml:space="preserve">Women of Algiers in their </w:t>
      </w:r>
      <w:proofErr w:type="spellStart"/>
      <w:r>
        <w:rPr>
          <w:rFonts w:eastAsia="Times New Roman"/>
          <w:i/>
          <w:color w:val="000000"/>
        </w:rPr>
        <w:t>Appartment</w:t>
      </w:r>
      <w:proofErr w:type="spellEnd"/>
      <w:r>
        <w:rPr>
          <w:rFonts w:eastAsia="Times New Roman"/>
          <w:color w:val="000000"/>
        </w:rPr>
        <w:t>. CARAF Books</w:t>
      </w:r>
    </w:p>
    <w:p w14:paraId="601DEDF3" w14:textId="77777777" w:rsidR="005A5390" w:rsidRDefault="005A5390">
      <w:pPr>
        <w:jc w:val="both"/>
      </w:pPr>
    </w:p>
    <w:p w14:paraId="773E6C06" w14:textId="77777777" w:rsidR="005A5390" w:rsidRDefault="00000000">
      <w:pPr>
        <w:jc w:val="both"/>
        <w:rPr>
          <w:rFonts w:eastAsia="Times New Roman"/>
          <w:color w:val="000000"/>
        </w:rPr>
      </w:pPr>
      <w:r>
        <w:rPr>
          <w:rFonts w:eastAsia="Times New Roman"/>
          <w:color w:val="000000"/>
        </w:rPr>
        <w:t xml:space="preserve">Bernadine </w:t>
      </w:r>
      <w:proofErr w:type="spellStart"/>
      <w:r>
        <w:rPr>
          <w:rFonts w:eastAsia="Times New Roman"/>
          <w:color w:val="000000"/>
        </w:rPr>
        <w:t>Evaristo</w:t>
      </w:r>
      <w:proofErr w:type="spellEnd"/>
      <w:r>
        <w:rPr>
          <w:rFonts w:eastAsia="Times New Roman"/>
          <w:color w:val="000000"/>
        </w:rPr>
        <w:t xml:space="preserve">. (2019) </w:t>
      </w:r>
      <w:r>
        <w:rPr>
          <w:rFonts w:eastAsia="Times New Roman"/>
          <w:i/>
          <w:color w:val="000000"/>
        </w:rPr>
        <w:t>Girl, Woman, Other</w:t>
      </w:r>
      <w:r>
        <w:rPr>
          <w:rFonts w:eastAsia="Times New Roman"/>
          <w:color w:val="000000"/>
        </w:rPr>
        <w:t xml:space="preserve">. </w:t>
      </w:r>
      <w:r>
        <w:t>Penguin.</w:t>
      </w:r>
    </w:p>
    <w:p w14:paraId="30C31FD6" w14:textId="77777777" w:rsidR="005A5390" w:rsidRDefault="005A5390">
      <w:pPr>
        <w:jc w:val="both"/>
      </w:pPr>
    </w:p>
    <w:p w14:paraId="48A91FBF" w14:textId="77777777" w:rsidR="005A5390" w:rsidRDefault="00000000">
      <w:pPr>
        <w:jc w:val="both"/>
        <w:rPr>
          <w:rFonts w:eastAsia="Times New Roman"/>
          <w:color w:val="000000"/>
        </w:rPr>
      </w:pPr>
      <w:r>
        <w:rPr>
          <w:rFonts w:eastAsia="Times New Roman"/>
          <w:color w:val="000000"/>
        </w:rPr>
        <w:t xml:space="preserve">Reni Eddo-Lodge. (2018) </w:t>
      </w:r>
      <w:r>
        <w:rPr>
          <w:rFonts w:eastAsia="Times New Roman"/>
          <w:i/>
          <w:color w:val="000000"/>
        </w:rPr>
        <w:t>Why I’m no longer talking to white people about race</w:t>
      </w:r>
      <w:r>
        <w:rPr>
          <w:rFonts w:eastAsia="Times New Roman"/>
          <w:color w:val="000000"/>
        </w:rPr>
        <w:t>. Bloomsbury.</w:t>
      </w:r>
    </w:p>
    <w:p w14:paraId="1B33B569" w14:textId="77777777" w:rsidR="005A5390" w:rsidRDefault="005A5390">
      <w:pPr>
        <w:jc w:val="both"/>
      </w:pPr>
    </w:p>
    <w:p w14:paraId="29C33A83" w14:textId="77777777" w:rsidR="005A5390" w:rsidRDefault="00000000">
      <w:pPr>
        <w:jc w:val="both"/>
      </w:pPr>
      <w:proofErr w:type="spellStart"/>
      <w:r>
        <w:rPr>
          <w:rFonts w:eastAsia="Times New Roman"/>
          <w:color w:val="000000"/>
        </w:rPr>
        <w:t>Petina</w:t>
      </w:r>
      <w:proofErr w:type="spellEnd"/>
      <w:r>
        <w:rPr>
          <w:rFonts w:eastAsia="Times New Roman"/>
          <w:color w:val="000000"/>
        </w:rPr>
        <w:t xml:space="preserve"> </w:t>
      </w:r>
      <w:proofErr w:type="spellStart"/>
      <w:r>
        <w:rPr>
          <w:rFonts w:eastAsia="Times New Roman"/>
          <w:color w:val="000000"/>
        </w:rPr>
        <w:t>Gappa</w:t>
      </w:r>
      <w:proofErr w:type="spellEnd"/>
      <w:r>
        <w:rPr>
          <w:rFonts w:eastAsia="Times New Roman"/>
          <w:color w:val="000000"/>
        </w:rPr>
        <w:t xml:space="preserve"> </w:t>
      </w:r>
      <w:r>
        <w:rPr>
          <w:rFonts w:eastAsia="Times New Roman"/>
          <w:i/>
          <w:color w:val="000000"/>
        </w:rPr>
        <w:t>An Elegy for Easterly</w:t>
      </w:r>
      <w:r>
        <w:rPr>
          <w:rFonts w:eastAsia="Times New Roman"/>
          <w:color w:val="000000"/>
        </w:rPr>
        <w:t>. (2009). Faber</w:t>
      </w:r>
      <w:r>
        <w:t>.</w:t>
      </w:r>
    </w:p>
    <w:p w14:paraId="41A8845D" w14:textId="77777777" w:rsidR="005A5390" w:rsidRDefault="005A5390">
      <w:pPr>
        <w:jc w:val="both"/>
      </w:pPr>
    </w:p>
    <w:p w14:paraId="78EAB647" w14:textId="77777777" w:rsidR="005A5390" w:rsidRDefault="00000000">
      <w:pPr>
        <w:jc w:val="both"/>
        <w:rPr>
          <w:rFonts w:eastAsia="Times New Roman"/>
          <w:color w:val="000000"/>
        </w:rPr>
      </w:pPr>
      <w:r>
        <w:rPr>
          <w:rFonts w:eastAsia="Times New Roman"/>
          <w:color w:val="000000"/>
        </w:rPr>
        <w:t xml:space="preserve">Romesh </w:t>
      </w:r>
      <w:proofErr w:type="spellStart"/>
      <w:r>
        <w:rPr>
          <w:rFonts w:eastAsia="Times New Roman"/>
          <w:color w:val="000000"/>
        </w:rPr>
        <w:t>Gunesekera</w:t>
      </w:r>
      <w:proofErr w:type="spellEnd"/>
      <w:r>
        <w:rPr>
          <w:rFonts w:eastAsia="Times New Roman"/>
          <w:color w:val="000000"/>
        </w:rPr>
        <w:t xml:space="preserve">. (1992) </w:t>
      </w:r>
      <w:r>
        <w:rPr>
          <w:rFonts w:eastAsia="Times New Roman"/>
          <w:i/>
          <w:color w:val="000000"/>
        </w:rPr>
        <w:t>Storm Petrel</w:t>
      </w:r>
      <w:r>
        <w:rPr>
          <w:rFonts w:eastAsia="Times New Roman"/>
          <w:color w:val="000000"/>
        </w:rPr>
        <w:t xml:space="preserve">. In Monkfish Moon, </w:t>
      </w:r>
      <w:proofErr w:type="spellStart"/>
      <w:r>
        <w:rPr>
          <w:rFonts w:eastAsia="Times New Roman"/>
          <w:color w:val="000000"/>
        </w:rPr>
        <w:t>Granta</w:t>
      </w:r>
      <w:proofErr w:type="spellEnd"/>
    </w:p>
    <w:p w14:paraId="5F5FC178" w14:textId="77777777" w:rsidR="005A5390" w:rsidRDefault="005A5390">
      <w:pPr>
        <w:jc w:val="both"/>
      </w:pPr>
    </w:p>
    <w:p w14:paraId="778E0636" w14:textId="77777777" w:rsidR="005A5390" w:rsidRDefault="00000000">
      <w:pPr>
        <w:jc w:val="both"/>
      </w:pPr>
      <w:r>
        <w:rPr>
          <w:rFonts w:eastAsia="Times New Roman"/>
          <w:color w:val="000000"/>
        </w:rPr>
        <w:t xml:space="preserve">Yaa Gyasi (2016) </w:t>
      </w:r>
      <w:r>
        <w:rPr>
          <w:rFonts w:eastAsia="Times New Roman"/>
          <w:i/>
          <w:color w:val="000000"/>
        </w:rPr>
        <w:t>Homegoing</w:t>
      </w:r>
      <w:r>
        <w:rPr>
          <w:rFonts w:eastAsia="Times New Roman"/>
          <w:color w:val="000000"/>
        </w:rPr>
        <w:t xml:space="preserve">. </w:t>
      </w:r>
      <w:proofErr w:type="spellStart"/>
      <w:r>
        <w:rPr>
          <w:rFonts w:eastAsia="Times New Roman"/>
          <w:color w:val="000000"/>
        </w:rPr>
        <w:t>Penquin</w:t>
      </w:r>
      <w:proofErr w:type="spellEnd"/>
      <w:r>
        <w:t>.</w:t>
      </w:r>
    </w:p>
    <w:p w14:paraId="1E913BDB" w14:textId="77777777" w:rsidR="005A5390" w:rsidRDefault="005A5390">
      <w:pPr>
        <w:jc w:val="both"/>
      </w:pPr>
    </w:p>
    <w:p w14:paraId="44B20C50" w14:textId="77777777" w:rsidR="005A5390" w:rsidRDefault="00000000">
      <w:pPr>
        <w:jc w:val="both"/>
      </w:pPr>
      <w:r>
        <w:rPr>
          <w:rFonts w:eastAsia="Times New Roman"/>
          <w:color w:val="000000"/>
        </w:rPr>
        <w:t xml:space="preserve">Hanif </w:t>
      </w:r>
      <w:proofErr w:type="spellStart"/>
      <w:r>
        <w:rPr>
          <w:rFonts w:eastAsia="Times New Roman"/>
          <w:color w:val="000000"/>
        </w:rPr>
        <w:t>Kureishi</w:t>
      </w:r>
      <w:proofErr w:type="spellEnd"/>
      <w:r>
        <w:rPr>
          <w:rFonts w:eastAsia="Times New Roman"/>
          <w:color w:val="000000"/>
        </w:rPr>
        <w:t xml:space="preserve">. (2005) </w:t>
      </w:r>
      <w:r>
        <w:rPr>
          <w:rFonts w:eastAsia="Times New Roman"/>
          <w:i/>
          <w:color w:val="000000"/>
        </w:rPr>
        <w:t>My Son the Fanatic.</w:t>
      </w:r>
      <w:r>
        <w:rPr>
          <w:rFonts w:eastAsia="Times New Roman"/>
          <w:color w:val="000000"/>
        </w:rPr>
        <w:t xml:space="preserve"> In </w:t>
      </w:r>
      <w:proofErr w:type="spellStart"/>
      <w:r>
        <w:rPr>
          <w:rFonts w:eastAsia="Times New Roman"/>
          <w:color w:val="000000"/>
        </w:rPr>
        <w:t>Butzko</w:t>
      </w:r>
      <w:proofErr w:type="spellEnd"/>
      <w:r>
        <w:rPr>
          <w:rFonts w:eastAsia="Times New Roman"/>
          <w:color w:val="000000"/>
        </w:rPr>
        <w:t xml:space="preserve">, E. &amp; </w:t>
      </w:r>
      <w:proofErr w:type="spellStart"/>
      <w:r>
        <w:rPr>
          <w:rFonts w:eastAsia="Times New Roman"/>
          <w:color w:val="000000"/>
        </w:rPr>
        <w:t>Pongartz</w:t>
      </w:r>
      <w:proofErr w:type="spellEnd"/>
      <w:r>
        <w:rPr>
          <w:rFonts w:eastAsia="Times New Roman"/>
          <w:color w:val="000000"/>
        </w:rPr>
        <w:t xml:space="preserve">, S. Caught between Cultures. </w:t>
      </w:r>
      <w:proofErr w:type="spellStart"/>
      <w:r>
        <w:rPr>
          <w:rFonts w:eastAsia="Times New Roman"/>
          <w:color w:val="000000"/>
        </w:rPr>
        <w:t>Klett</w:t>
      </w:r>
      <w:proofErr w:type="spellEnd"/>
      <w:r>
        <w:rPr>
          <w:rFonts w:eastAsia="Times New Roman"/>
          <w:color w:val="000000"/>
        </w:rPr>
        <w:t>.</w:t>
      </w:r>
    </w:p>
    <w:p w14:paraId="7D8F2509" w14:textId="77777777" w:rsidR="005A5390" w:rsidRDefault="005A5390">
      <w:pPr>
        <w:jc w:val="both"/>
      </w:pPr>
    </w:p>
    <w:p w14:paraId="778CD183" w14:textId="77777777" w:rsidR="005A5390" w:rsidRDefault="00000000">
      <w:pPr>
        <w:jc w:val="both"/>
        <w:rPr>
          <w:rFonts w:eastAsia="Times New Roman"/>
          <w:color w:val="000000"/>
        </w:rPr>
      </w:pPr>
      <w:r>
        <w:rPr>
          <w:rFonts w:eastAsia="Times New Roman"/>
          <w:color w:val="000000"/>
        </w:rPr>
        <w:t xml:space="preserve">Ellis </w:t>
      </w:r>
      <w:proofErr w:type="spellStart"/>
      <w:r>
        <w:rPr>
          <w:rFonts w:eastAsia="Times New Roman"/>
          <w:color w:val="000000"/>
        </w:rPr>
        <w:t>Ayitey</w:t>
      </w:r>
      <w:proofErr w:type="spellEnd"/>
      <w:r>
        <w:rPr>
          <w:rFonts w:eastAsia="Times New Roman"/>
          <w:color w:val="000000"/>
        </w:rPr>
        <w:t xml:space="preserve"> </w:t>
      </w:r>
      <w:proofErr w:type="spellStart"/>
      <w:r>
        <w:rPr>
          <w:rFonts w:eastAsia="Times New Roman"/>
          <w:color w:val="000000"/>
        </w:rPr>
        <w:t>Lomey</w:t>
      </w:r>
      <w:proofErr w:type="spellEnd"/>
      <w:r>
        <w:rPr>
          <w:rFonts w:eastAsia="Times New Roman"/>
          <w:color w:val="000000"/>
        </w:rPr>
        <w:t xml:space="preserve"> &amp; </w:t>
      </w:r>
      <w:proofErr w:type="spellStart"/>
      <w:r>
        <w:rPr>
          <w:rFonts w:eastAsia="Times New Roman"/>
          <w:color w:val="000000"/>
        </w:rPr>
        <w:t>Ezekial</w:t>
      </w:r>
      <w:proofErr w:type="spellEnd"/>
      <w:r>
        <w:rPr>
          <w:rFonts w:eastAsia="Times New Roman"/>
          <w:color w:val="000000"/>
        </w:rPr>
        <w:t xml:space="preserve"> </w:t>
      </w:r>
      <w:proofErr w:type="spellStart"/>
      <w:r>
        <w:rPr>
          <w:rFonts w:eastAsia="Times New Roman"/>
          <w:color w:val="000000"/>
        </w:rPr>
        <w:t>Mphahlele</w:t>
      </w:r>
      <w:proofErr w:type="spellEnd"/>
      <w:r>
        <w:rPr>
          <w:rFonts w:eastAsia="Times New Roman"/>
          <w:color w:val="000000"/>
        </w:rPr>
        <w:t xml:space="preserve"> (eds) (1969) Modern African Stories. Faber.</w:t>
      </w:r>
    </w:p>
    <w:p w14:paraId="704E898B" w14:textId="77777777" w:rsidR="005A5390" w:rsidRDefault="005A5390">
      <w:pPr>
        <w:jc w:val="both"/>
      </w:pPr>
    </w:p>
    <w:p w14:paraId="0FFF9C8D" w14:textId="77777777" w:rsidR="005A5390" w:rsidRDefault="00000000">
      <w:pPr>
        <w:jc w:val="both"/>
        <w:rPr>
          <w:rFonts w:eastAsia="Times New Roman"/>
          <w:color w:val="000000"/>
        </w:rPr>
      </w:pPr>
      <w:r>
        <w:rPr>
          <w:rFonts w:eastAsia="Times New Roman"/>
          <w:color w:val="000000"/>
        </w:rPr>
        <w:t xml:space="preserve">Fred </w:t>
      </w:r>
      <w:proofErr w:type="spellStart"/>
      <w:r>
        <w:rPr>
          <w:rFonts w:eastAsia="Times New Roman"/>
          <w:color w:val="000000"/>
        </w:rPr>
        <w:t>Leeborn</w:t>
      </w:r>
      <w:proofErr w:type="spellEnd"/>
      <w:r>
        <w:rPr>
          <w:rFonts w:eastAsia="Times New Roman"/>
          <w:color w:val="000000"/>
        </w:rPr>
        <w:t xml:space="preserve">  (1992) </w:t>
      </w:r>
      <w:r>
        <w:rPr>
          <w:rFonts w:eastAsia="Times New Roman"/>
          <w:i/>
          <w:color w:val="000000"/>
        </w:rPr>
        <w:t>Water</w:t>
      </w:r>
      <w:r>
        <w:rPr>
          <w:rFonts w:eastAsia="Times New Roman"/>
          <w:color w:val="000000"/>
        </w:rPr>
        <w:t xml:space="preserve"> in Flash Fiction 72 Very Short Stories. </w:t>
      </w:r>
      <w:r>
        <w:t>(</w:t>
      </w:r>
      <w:r>
        <w:rPr>
          <w:rFonts w:eastAsia="Times New Roman"/>
          <w:color w:val="000000"/>
        </w:rPr>
        <w:t>Eds )Thomas et al.</w:t>
      </w:r>
    </w:p>
    <w:p w14:paraId="5C2574DC" w14:textId="77777777" w:rsidR="005A5390" w:rsidRDefault="00000000">
      <w:pPr>
        <w:jc w:val="both"/>
        <w:rPr>
          <w:rFonts w:eastAsia="Times New Roman"/>
          <w:color w:val="000000"/>
        </w:rPr>
      </w:pPr>
      <w:r>
        <w:rPr>
          <w:rFonts w:eastAsia="Times New Roman"/>
          <w:color w:val="000000"/>
        </w:rPr>
        <w:lastRenderedPageBreak/>
        <w:t>W.W. Norton and Company. pp. 157-158.</w:t>
      </w:r>
    </w:p>
    <w:p w14:paraId="2400F922" w14:textId="77777777" w:rsidR="005A5390" w:rsidRDefault="005A5390">
      <w:pPr>
        <w:ind w:firstLine="720"/>
        <w:jc w:val="both"/>
      </w:pPr>
    </w:p>
    <w:p w14:paraId="546265B1" w14:textId="77777777" w:rsidR="005A5390" w:rsidRDefault="00000000">
      <w:pPr>
        <w:jc w:val="both"/>
        <w:rPr>
          <w:rFonts w:eastAsia="Times New Roman"/>
          <w:color w:val="000000"/>
        </w:rPr>
      </w:pPr>
      <w:r>
        <w:rPr>
          <w:rFonts w:eastAsia="Times New Roman"/>
          <w:color w:val="000000"/>
        </w:rPr>
        <w:t xml:space="preserve">Ben </w:t>
      </w:r>
      <w:proofErr w:type="spellStart"/>
      <w:r>
        <w:rPr>
          <w:rFonts w:eastAsia="Times New Roman"/>
          <w:color w:val="000000"/>
        </w:rPr>
        <w:t>Okri</w:t>
      </w:r>
      <w:proofErr w:type="spellEnd"/>
      <w:r>
        <w:rPr>
          <w:rFonts w:eastAsia="Times New Roman"/>
          <w:color w:val="000000"/>
        </w:rPr>
        <w:t xml:space="preserve">. (1995) </w:t>
      </w:r>
      <w:r>
        <w:rPr>
          <w:rFonts w:eastAsia="Times New Roman"/>
          <w:i/>
          <w:color w:val="000000"/>
        </w:rPr>
        <w:t>Birds of Heaven</w:t>
      </w:r>
      <w:r>
        <w:rPr>
          <w:rFonts w:eastAsia="Times New Roman"/>
          <w:color w:val="000000"/>
        </w:rPr>
        <w:t xml:space="preserve">. Weidenfeld and Nicholson. </w:t>
      </w:r>
    </w:p>
    <w:p w14:paraId="5DE4170F" w14:textId="77777777" w:rsidR="005A5390" w:rsidRDefault="00000000">
      <w:pPr>
        <w:jc w:val="both"/>
        <w:rPr>
          <w:rFonts w:eastAsia="Times New Roman"/>
          <w:color w:val="000000"/>
        </w:rPr>
      </w:pPr>
      <w:r>
        <w:rPr>
          <w:rFonts w:eastAsia="Times New Roman"/>
          <w:color w:val="000000"/>
        </w:rPr>
        <w:br/>
        <w:t xml:space="preserve">Ngugi </w:t>
      </w:r>
      <w:proofErr w:type="spellStart"/>
      <w:r>
        <w:rPr>
          <w:rFonts w:eastAsia="Times New Roman"/>
          <w:color w:val="000000"/>
        </w:rPr>
        <w:t>wa</w:t>
      </w:r>
      <w:proofErr w:type="spellEnd"/>
      <w:r>
        <w:rPr>
          <w:rFonts w:eastAsia="Times New Roman"/>
          <w:color w:val="000000"/>
        </w:rPr>
        <w:t xml:space="preserve"> </w:t>
      </w:r>
      <w:proofErr w:type="spellStart"/>
      <w:r>
        <w:rPr>
          <w:rFonts w:eastAsia="Times New Roman"/>
          <w:color w:val="000000"/>
        </w:rPr>
        <w:t>Thiong’o</w:t>
      </w:r>
      <w:proofErr w:type="spellEnd"/>
      <w:r>
        <w:rPr>
          <w:rFonts w:eastAsia="Times New Roman"/>
          <w:color w:val="000000"/>
        </w:rPr>
        <w:t xml:space="preserve">. (2005/1972) </w:t>
      </w:r>
      <w:r>
        <w:rPr>
          <w:rFonts w:eastAsia="Times New Roman"/>
          <w:i/>
          <w:color w:val="000000"/>
        </w:rPr>
        <w:t>A meeting in the dark</w:t>
      </w:r>
      <w:r>
        <w:rPr>
          <w:rFonts w:eastAsia="Times New Roman"/>
          <w:color w:val="000000"/>
        </w:rPr>
        <w:t xml:space="preserve"> . In </w:t>
      </w:r>
      <w:proofErr w:type="spellStart"/>
      <w:r>
        <w:rPr>
          <w:rFonts w:eastAsia="Times New Roman"/>
          <w:color w:val="000000"/>
        </w:rPr>
        <w:t>Butzko</w:t>
      </w:r>
      <w:proofErr w:type="spellEnd"/>
      <w:r>
        <w:rPr>
          <w:rFonts w:eastAsia="Times New Roman"/>
          <w:color w:val="000000"/>
        </w:rPr>
        <w:t xml:space="preserve">, E. &amp; </w:t>
      </w:r>
      <w:proofErr w:type="spellStart"/>
      <w:r>
        <w:rPr>
          <w:rFonts w:eastAsia="Times New Roman"/>
          <w:color w:val="000000"/>
        </w:rPr>
        <w:t>Pongartz</w:t>
      </w:r>
      <w:proofErr w:type="spellEnd"/>
      <w:r>
        <w:rPr>
          <w:rFonts w:eastAsia="Times New Roman"/>
          <w:color w:val="000000"/>
        </w:rPr>
        <w:t xml:space="preserve">, S. Caught between Cultures. </w:t>
      </w:r>
      <w:proofErr w:type="spellStart"/>
      <w:r>
        <w:rPr>
          <w:rFonts w:eastAsia="Times New Roman"/>
          <w:color w:val="000000"/>
        </w:rPr>
        <w:t>Klett</w:t>
      </w:r>
      <w:proofErr w:type="spellEnd"/>
      <w:r>
        <w:rPr>
          <w:rFonts w:eastAsia="Times New Roman"/>
          <w:color w:val="000000"/>
        </w:rPr>
        <w:t xml:space="preserve">. </w:t>
      </w:r>
    </w:p>
    <w:p w14:paraId="12557989" w14:textId="77777777" w:rsidR="005A5390" w:rsidRDefault="005A5390">
      <w:pPr>
        <w:jc w:val="both"/>
      </w:pPr>
    </w:p>
    <w:p w14:paraId="74244380" w14:textId="77777777" w:rsidR="005A5390" w:rsidRDefault="00000000">
      <w:pPr>
        <w:jc w:val="both"/>
        <w:rPr>
          <w:rFonts w:eastAsia="Times New Roman"/>
          <w:color w:val="000000"/>
        </w:rPr>
      </w:pPr>
      <w:r>
        <w:rPr>
          <w:rFonts w:eastAsia="Times New Roman"/>
          <w:color w:val="000000"/>
        </w:rPr>
        <w:t xml:space="preserve">Trevor Noah. (2016) </w:t>
      </w:r>
      <w:r>
        <w:rPr>
          <w:rFonts w:eastAsia="Times New Roman"/>
          <w:i/>
          <w:color w:val="000000"/>
        </w:rPr>
        <w:t xml:space="preserve">Born a crime. </w:t>
      </w:r>
      <w:proofErr w:type="spellStart"/>
      <w:r>
        <w:rPr>
          <w:rFonts w:eastAsia="Times New Roman"/>
          <w:color w:val="000000"/>
        </w:rPr>
        <w:t>Piegel</w:t>
      </w:r>
      <w:proofErr w:type="spellEnd"/>
      <w:r>
        <w:rPr>
          <w:rFonts w:eastAsia="Times New Roman"/>
          <w:color w:val="000000"/>
        </w:rPr>
        <w:t xml:space="preserve"> and Grau.</w:t>
      </w:r>
    </w:p>
    <w:p w14:paraId="2E3E7153" w14:textId="77777777" w:rsidR="005A5390" w:rsidRDefault="005A5390">
      <w:pPr>
        <w:jc w:val="both"/>
      </w:pPr>
    </w:p>
    <w:p w14:paraId="2C8E3F51" w14:textId="77777777" w:rsidR="005A5390" w:rsidRDefault="00000000">
      <w:pPr>
        <w:jc w:val="both"/>
        <w:rPr>
          <w:rFonts w:eastAsia="Times New Roman"/>
          <w:color w:val="000000"/>
        </w:rPr>
      </w:pPr>
      <w:r>
        <w:rPr>
          <w:rFonts w:eastAsia="Times New Roman"/>
          <w:color w:val="000000"/>
        </w:rPr>
        <w:t xml:space="preserve">Anuradha Roy. (2011) </w:t>
      </w:r>
      <w:r>
        <w:rPr>
          <w:rFonts w:eastAsia="Times New Roman"/>
          <w:i/>
          <w:color w:val="000000"/>
        </w:rPr>
        <w:t xml:space="preserve">The Folded Earth. </w:t>
      </w:r>
      <w:r>
        <w:rPr>
          <w:rFonts w:eastAsia="Times New Roman"/>
          <w:color w:val="000000"/>
        </w:rPr>
        <w:t>Hachette.</w:t>
      </w:r>
    </w:p>
    <w:p w14:paraId="681FC8CF" w14:textId="77777777" w:rsidR="005A5390" w:rsidRDefault="005A5390">
      <w:pPr>
        <w:jc w:val="both"/>
      </w:pPr>
    </w:p>
    <w:p w14:paraId="2667AADB" w14:textId="77777777" w:rsidR="005A5390" w:rsidRDefault="00000000">
      <w:pPr>
        <w:jc w:val="both"/>
        <w:rPr>
          <w:rFonts w:eastAsia="Times New Roman"/>
          <w:color w:val="000000"/>
        </w:rPr>
      </w:pPr>
      <w:r>
        <w:rPr>
          <w:rFonts w:eastAsia="Times New Roman"/>
          <w:color w:val="000000"/>
        </w:rPr>
        <w:t xml:space="preserve">Salman Rushdie. (2005) </w:t>
      </w:r>
      <w:r>
        <w:rPr>
          <w:rFonts w:eastAsia="Times New Roman"/>
          <w:i/>
          <w:color w:val="000000"/>
        </w:rPr>
        <w:t>Good advice is rarer than rubies</w:t>
      </w:r>
      <w:r>
        <w:rPr>
          <w:rFonts w:eastAsia="Times New Roman"/>
          <w:color w:val="000000"/>
        </w:rPr>
        <w:t xml:space="preserve">. In </w:t>
      </w:r>
      <w:proofErr w:type="spellStart"/>
      <w:r>
        <w:rPr>
          <w:rFonts w:eastAsia="Times New Roman"/>
          <w:color w:val="000000"/>
        </w:rPr>
        <w:t>Butzko</w:t>
      </w:r>
      <w:proofErr w:type="spellEnd"/>
      <w:r>
        <w:rPr>
          <w:rFonts w:eastAsia="Times New Roman"/>
          <w:color w:val="000000"/>
        </w:rPr>
        <w:t xml:space="preserve">, E. &amp; </w:t>
      </w:r>
      <w:proofErr w:type="spellStart"/>
      <w:r>
        <w:rPr>
          <w:rFonts w:eastAsia="Times New Roman"/>
          <w:color w:val="000000"/>
        </w:rPr>
        <w:t>Pongartz</w:t>
      </w:r>
      <w:proofErr w:type="spellEnd"/>
      <w:r>
        <w:rPr>
          <w:rFonts w:eastAsia="Times New Roman"/>
          <w:color w:val="000000"/>
        </w:rPr>
        <w:t xml:space="preserve">, S. Caught between Cultures. </w:t>
      </w:r>
      <w:proofErr w:type="spellStart"/>
      <w:r>
        <w:rPr>
          <w:rFonts w:eastAsia="Times New Roman"/>
          <w:color w:val="000000"/>
        </w:rPr>
        <w:t>Klett</w:t>
      </w:r>
      <w:proofErr w:type="spellEnd"/>
      <w:r>
        <w:rPr>
          <w:rFonts w:eastAsia="Times New Roman"/>
          <w:color w:val="000000"/>
        </w:rPr>
        <w:t>.</w:t>
      </w:r>
    </w:p>
    <w:p w14:paraId="72125E7C" w14:textId="77777777" w:rsidR="005A5390" w:rsidRDefault="005A5390">
      <w:pPr>
        <w:ind w:firstLine="720"/>
        <w:jc w:val="both"/>
      </w:pPr>
    </w:p>
    <w:p w14:paraId="45BFAD76" w14:textId="77777777" w:rsidR="005A5390" w:rsidRDefault="00000000">
      <w:pPr>
        <w:jc w:val="both"/>
        <w:rPr>
          <w:rFonts w:eastAsia="Times New Roman"/>
          <w:color w:val="000000"/>
        </w:rPr>
      </w:pPr>
      <w:r>
        <w:rPr>
          <w:rFonts w:eastAsia="Times New Roman"/>
          <w:color w:val="000000"/>
        </w:rPr>
        <w:t xml:space="preserve">Nikesh Shukla. (2007) The Good Immigrant: 21 writers on race in contemporary Britain. Unbound. </w:t>
      </w:r>
    </w:p>
    <w:p w14:paraId="656E6FCA" w14:textId="77777777" w:rsidR="005A5390" w:rsidRDefault="005A5390">
      <w:pPr>
        <w:ind w:firstLine="720"/>
        <w:jc w:val="both"/>
      </w:pPr>
    </w:p>
    <w:p w14:paraId="58C3961C" w14:textId="77777777" w:rsidR="005A5390" w:rsidRDefault="00000000">
      <w:pPr>
        <w:jc w:val="both"/>
        <w:rPr>
          <w:rFonts w:eastAsia="Times New Roman"/>
          <w:color w:val="000000"/>
        </w:rPr>
      </w:pPr>
      <w:r>
        <w:rPr>
          <w:rFonts w:eastAsia="Times New Roman"/>
          <w:color w:val="000000"/>
        </w:rPr>
        <w:t>Zadie Smith. (1981</w:t>
      </w:r>
      <w:r>
        <w:t xml:space="preserve">) </w:t>
      </w:r>
      <w:r>
        <w:rPr>
          <w:rFonts w:eastAsia="Times New Roman"/>
          <w:i/>
          <w:color w:val="000000"/>
        </w:rPr>
        <w:t xml:space="preserve">Martha </w:t>
      </w:r>
      <w:proofErr w:type="spellStart"/>
      <w:r>
        <w:rPr>
          <w:rFonts w:eastAsia="Times New Roman"/>
          <w:i/>
          <w:color w:val="000000"/>
        </w:rPr>
        <w:t>Martha</w:t>
      </w:r>
      <w:proofErr w:type="spellEnd"/>
      <w:r>
        <w:rPr>
          <w:rFonts w:eastAsia="Times New Roman"/>
          <w:i/>
          <w:color w:val="000000"/>
        </w:rPr>
        <w:t>.</w:t>
      </w:r>
      <w:r>
        <w:rPr>
          <w:rFonts w:eastAsia="Times New Roman"/>
          <w:color w:val="000000"/>
        </w:rPr>
        <w:t xml:space="preserve"> </w:t>
      </w:r>
      <w:proofErr w:type="spellStart"/>
      <w:r>
        <w:rPr>
          <w:rFonts w:eastAsia="Times New Roman"/>
          <w:color w:val="000000"/>
        </w:rPr>
        <w:t>Granta</w:t>
      </w:r>
      <w:proofErr w:type="spellEnd"/>
      <w:r>
        <w:rPr>
          <w:rFonts w:eastAsia="Times New Roman"/>
          <w:color w:val="000000"/>
        </w:rPr>
        <w:t xml:space="preserve"> 81</w:t>
      </w:r>
      <w:r>
        <w:t>.</w:t>
      </w:r>
    </w:p>
    <w:p w14:paraId="6262A86E" w14:textId="77777777" w:rsidR="005A5390" w:rsidRDefault="005A5390">
      <w:pPr>
        <w:jc w:val="both"/>
      </w:pPr>
    </w:p>
    <w:p w14:paraId="7DE47240" w14:textId="77777777" w:rsidR="005A5390" w:rsidRDefault="00000000">
      <w:pPr>
        <w:jc w:val="both"/>
        <w:rPr>
          <w:rFonts w:eastAsia="Times New Roman"/>
          <w:color w:val="000000"/>
        </w:rPr>
      </w:pPr>
      <w:r>
        <w:rPr>
          <w:rFonts w:eastAsia="Times New Roman"/>
          <w:color w:val="000000"/>
        </w:rPr>
        <w:t xml:space="preserve">Vikas Swarup. (2005) </w:t>
      </w:r>
      <w:r>
        <w:rPr>
          <w:rFonts w:eastAsia="Times New Roman"/>
          <w:i/>
          <w:color w:val="000000"/>
        </w:rPr>
        <w:t xml:space="preserve">Slumdog Millionaire </w:t>
      </w:r>
      <w:r>
        <w:rPr>
          <w:rFonts w:eastAsia="Times New Roman"/>
          <w:color w:val="000000"/>
        </w:rPr>
        <w:t>Black Swan</w:t>
      </w:r>
      <w:r>
        <w:t>.</w:t>
      </w:r>
    </w:p>
    <w:p w14:paraId="40000FD7" w14:textId="77777777" w:rsidR="005A5390" w:rsidRDefault="005A5390">
      <w:pPr>
        <w:jc w:val="both"/>
      </w:pPr>
    </w:p>
    <w:p w14:paraId="5D6C780E" w14:textId="77777777" w:rsidR="005A5390" w:rsidRDefault="00000000">
      <w:pPr>
        <w:jc w:val="both"/>
        <w:rPr>
          <w:rFonts w:eastAsia="Times New Roman"/>
          <w:color w:val="000000"/>
        </w:rPr>
      </w:pPr>
      <w:r>
        <w:rPr>
          <w:rFonts w:eastAsia="Times New Roman"/>
          <w:color w:val="000000"/>
        </w:rPr>
        <w:t xml:space="preserve">Amos Tutuola. (1954) </w:t>
      </w:r>
      <w:r>
        <w:rPr>
          <w:rFonts w:eastAsia="Times New Roman"/>
          <w:i/>
          <w:color w:val="000000"/>
        </w:rPr>
        <w:t>My Life in the Bush of Ghosts</w:t>
      </w:r>
      <w:r>
        <w:rPr>
          <w:rFonts w:eastAsia="Times New Roman"/>
          <w:color w:val="000000"/>
        </w:rPr>
        <w:t>. Faber.</w:t>
      </w:r>
    </w:p>
    <w:p w14:paraId="25469FD5" w14:textId="77777777" w:rsidR="005A5390" w:rsidRDefault="005A5390">
      <w:pPr>
        <w:jc w:val="both"/>
      </w:pPr>
    </w:p>
    <w:p w14:paraId="216E73B1" w14:textId="77777777" w:rsidR="005A5390" w:rsidRDefault="005A5390">
      <w:pPr>
        <w:jc w:val="both"/>
        <w:rPr>
          <w:rFonts w:eastAsia="Times New Roman"/>
          <w:color w:val="000000"/>
        </w:rPr>
      </w:pPr>
    </w:p>
    <w:p w14:paraId="70276BFA" w14:textId="77777777" w:rsidR="00764B7F" w:rsidRDefault="00764B7F" w:rsidP="00764B7F">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33663967" w14:textId="77777777" w:rsidR="00764B7F" w:rsidRDefault="00764B7F" w:rsidP="00764B7F">
      <w:pPr>
        <w:rPr>
          <w:b/>
        </w:rPr>
      </w:pPr>
    </w:p>
    <w:p w14:paraId="73B4F2DD" w14:textId="77777777" w:rsidR="00764B7F" w:rsidRPr="00FF69C7" w:rsidRDefault="00764B7F" w:rsidP="00764B7F">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7FD60F4D" w14:textId="77777777" w:rsidR="00764B7F" w:rsidRPr="00FF69C7" w:rsidRDefault="00764B7F" w:rsidP="00764B7F">
      <w:pPr>
        <w:rPr>
          <w:b/>
        </w:rPr>
      </w:pPr>
    </w:p>
    <w:p w14:paraId="25590174" w14:textId="77777777" w:rsidR="005A5390" w:rsidRDefault="005A5390">
      <w:pPr>
        <w:jc w:val="both"/>
        <w:rPr>
          <w:rFonts w:eastAsia="Times New Roman"/>
          <w:color w:val="000000"/>
        </w:rPr>
      </w:pPr>
    </w:p>
    <w:p w14:paraId="629982CD" w14:textId="77777777" w:rsidR="005A5390" w:rsidRDefault="005A5390">
      <w:pPr>
        <w:jc w:val="both"/>
        <w:rPr>
          <w:rFonts w:eastAsia="Times New Roman"/>
          <w:color w:val="000000"/>
        </w:rPr>
      </w:pPr>
    </w:p>
    <w:p w14:paraId="363BCD23" w14:textId="77777777" w:rsidR="005A5390" w:rsidRDefault="00000000">
      <w:pPr>
        <w:jc w:val="both"/>
        <w:rPr>
          <w:rFonts w:eastAsia="Times New Roman"/>
          <w:color w:val="000000"/>
        </w:rPr>
      </w:pPr>
      <w:r>
        <w:rPr>
          <w:rFonts w:eastAsia="Times New Roman"/>
          <w:color w:val="000000"/>
        </w:rPr>
        <w:t xml:space="preserve"> </w:t>
      </w:r>
      <w:r>
        <w:rPr>
          <w:rFonts w:eastAsia="Times New Roman"/>
          <w:color w:val="000000"/>
        </w:rPr>
        <w:br/>
      </w:r>
    </w:p>
    <w:p w14:paraId="2F398950" w14:textId="77777777" w:rsidR="005A5390" w:rsidRDefault="005A5390">
      <w:pPr>
        <w:jc w:val="both"/>
        <w:rPr>
          <w:rFonts w:eastAsia="Times New Roman"/>
          <w:color w:val="000000"/>
        </w:rPr>
      </w:pPr>
    </w:p>
    <w:p w14:paraId="4D55947C" w14:textId="77777777" w:rsidR="005A5390" w:rsidRDefault="005A5390">
      <w:pPr>
        <w:jc w:val="both"/>
      </w:pPr>
    </w:p>
    <w:sectPr w:rsidR="005A5390">
      <w:headerReference w:type="default" r:id="rId10"/>
      <w:footerReference w:type="default" r:id="rId11"/>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195E8" w14:textId="77777777" w:rsidR="0013476E" w:rsidRDefault="0013476E">
      <w:r>
        <w:separator/>
      </w:r>
    </w:p>
  </w:endnote>
  <w:endnote w:type="continuationSeparator" w:id="0">
    <w:p w14:paraId="39673B6A" w14:textId="77777777" w:rsidR="0013476E" w:rsidRDefault="00134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auto"/>
    <w:pitch w:val="default"/>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8E468" w14:textId="77777777" w:rsidR="005A5390" w:rsidRDefault="00000000">
    <w:pPr>
      <w:tabs>
        <w:tab w:val="center" w:pos="4513"/>
        <w:tab w:val="right" w:pos="9026"/>
        <w:tab w:val="right" w:pos="9000"/>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A33234">
      <w:rPr>
        <w:rFonts w:ascii="Calibri" w:eastAsia="Calibri" w:hAnsi="Calibri" w:cs="Calibri"/>
        <w:noProof/>
        <w:color w:val="000000"/>
      </w:rPr>
      <w:t>1</w:t>
    </w:r>
    <w:r>
      <w:rPr>
        <w:rFonts w:ascii="Calibri" w:eastAsia="Calibri" w:hAnsi="Calibri" w:cs="Calibri"/>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6A068" w14:textId="77777777" w:rsidR="0013476E" w:rsidRDefault="0013476E">
      <w:r>
        <w:separator/>
      </w:r>
    </w:p>
  </w:footnote>
  <w:footnote w:type="continuationSeparator" w:id="0">
    <w:p w14:paraId="5A29B45E" w14:textId="77777777" w:rsidR="0013476E" w:rsidRDefault="00134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D62A0" w14:textId="77777777" w:rsidR="005A5390" w:rsidRDefault="005A5390">
    <w:pP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390"/>
    <w:rsid w:val="0013476E"/>
    <w:rsid w:val="004D038A"/>
    <w:rsid w:val="005A5390"/>
    <w:rsid w:val="00764B7F"/>
    <w:rsid w:val="00881D1E"/>
    <w:rsid w:val="00A33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A59E4"/>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20C"/>
    <w:pPr>
      <w:pBdr>
        <w:top w:val="nil"/>
        <w:left w:val="nil"/>
        <w:bottom w:val="nil"/>
        <w:right w:val="nil"/>
        <w:between w:val="nil"/>
        <w:bar w:val="nil"/>
      </w:pBdr>
    </w:pPr>
    <w:rPr>
      <w:rFonts w:eastAsia="Arial Unicode MS"/>
      <w:bdr w:val="nil"/>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Revision">
    <w:name w:val="Revision"/>
    <w:hidden/>
    <w:uiPriority w:val="99"/>
    <w:semiHidden/>
    <w:rsid w:val="007E220C"/>
  </w:style>
  <w:style w:type="paragraph" w:customStyle="1" w:styleId="HeaderFooter">
    <w:name w:val="Header &amp; Footer"/>
    <w:rsid w:val="007E220C"/>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14:textOutline w14:w="0" w14:cap="flat" w14:cmpd="sng" w14:algn="ctr">
        <w14:noFill/>
        <w14:prstDash w14:val="solid"/>
        <w14:bevel/>
      </w14:textOutline>
    </w:rPr>
  </w:style>
  <w:style w:type="paragraph" w:styleId="Footer">
    <w:name w:val="footer"/>
    <w:link w:val="FooterChar"/>
    <w:rsid w:val="007E220C"/>
    <w:pPr>
      <w:pBdr>
        <w:top w:val="nil"/>
        <w:left w:val="nil"/>
        <w:bottom w:val="nil"/>
        <w:right w:val="nil"/>
        <w:between w:val="nil"/>
        <w:bar w:val="nil"/>
      </w:pBdr>
      <w:tabs>
        <w:tab w:val="center" w:pos="4513"/>
        <w:tab w:val="right" w:pos="9026"/>
      </w:tabs>
    </w:pPr>
    <w:rPr>
      <w:rFonts w:ascii="Calibri" w:eastAsia="Arial Unicode MS" w:hAnsi="Calibri" w:cs="Arial Unicode MS"/>
      <w:color w:val="000000"/>
      <w:u w:color="000000"/>
      <w:bdr w:val="nil"/>
      <w:lang w:val="de-DE"/>
    </w:rPr>
  </w:style>
  <w:style w:type="character" w:customStyle="1" w:styleId="FooterChar">
    <w:name w:val="Footer Char"/>
    <w:basedOn w:val="DefaultParagraphFont"/>
    <w:link w:val="Footer"/>
    <w:rsid w:val="007E220C"/>
    <w:rPr>
      <w:rFonts w:ascii="Calibri" w:eastAsia="Arial Unicode MS" w:hAnsi="Calibri" w:cs="Arial Unicode MS"/>
      <w:color w:val="000000"/>
      <w:u w:color="000000"/>
      <w:bdr w:val="nil"/>
      <w:lang w:val="de-DE" w:eastAsia="en-GB"/>
    </w:rPr>
  </w:style>
  <w:style w:type="character" w:styleId="PageNumber">
    <w:name w:val="page number"/>
    <w:rsid w:val="007E220C"/>
  </w:style>
  <w:style w:type="paragraph" w:customStyle="1" w:styleId="Body">
    <w:name w:val="Body"/>
    <w:rsid w:val="007E220C"/>
    <w:pPr>
      <w:pBdr>
        <w:top w:val="nil"/>
        <w:left w:val="nil"/>
        <w:bottom w:val="nil"/>
        <w:right w:val="nil"/>
        <w:between w:val="nil"/>
        <w:bar w:val="nil"/>
      </w:pBdr>
    </w:pPr>
    <w:rPr>
      <w:rFonts w:ascii="Calibri" w:eastAsia="Arial Unicode MS" w:hAnsi="Calibri" w:cs="Arial Unicode MS"/>
      <w:color w:val="000000"/>
      <w:u w:color="000000"/>
      <w:bdr w:val="nil"/>
      <w14:textOutline w14:w="0" w14:cap="flat" w14:cmpd="sng" w14:algn="ctr">
        <w14:noFill/>
        <w14:prstDash w14:val="solid"/>
        <w14:bevel/>
      </w14:textOutline>
    </w:rPr>
  </w:style>
  <w:style w:type="paragraph" w:customStyle="1" w:styleId="Default">
    <w:name w:val="Default"/>
    <w:rsid w:val="007E220C"/>
    <w:pPr>
      <w:pBdr>
        <w:top w:val="nil"/>
        <w:left w:val="nil"/>
        <w:bottom w:val="nil"/>
        <w:right w:val="nil"/>
        <w:between w:val="nil"/>
        <w:bar w:val="nil"/>
      </w:pBdr>
      <w:spacing w:before="160" w:line="288" w:lineRule="auto"/>
    </w:pPr>
    <w:rPr>
      <w:rFonts w:ascii="Helvetica Neue" w:eastAsia="Helvetica Neue" w:hAnsi="Helvetica Neue" w:cs="Helvetica Neue"/>
      <w:color w:val="000000"/>
      <w:bdr w:val="nil"/>
      <w14:textOutline w14:w="0" w14:cap="flat" w14:cmpd="sng" w14:algn="ctr">
        <w14:noFill/>
        <w14:prstDash w14:val="solid"/>
        <w14:bevel/>
      </w14:textOutline>
    </w:rPr>
  </w:style>
  <w:style w:type="character" w:customStyle="1" w:styleId="Hyperlink0">
    <w:name w:val="Hyperlink.0"/>
    <w:basedOn w:val="DefaultParagraphFont"/>
    <w:rsid w:val="007E220C"/>
    <w:rPr>
      <w:outline w:val="0"/>
      <w:color w:val="0563C1"/>
      <w:u w:val="single" w:color="0563C1"/>
      <w:lang w:val="en-US"/>
    </w:rPr>
  </w:style>
  <w:style w:type="character" w:customStyle="1" w:styleId="markedcontent">
    <w:name w:val="markedcontent"/>
    <w:basedOn w:val="DefaultParagraphFont"/>
    <w:rsid w:val="007E220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tynrawson@icloud.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tymonline.com/word/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680sL5Fg6K/jyy48iMjtgFBNE6Q==">AMUW2mVNin9pm78bKRYaKQf6Kqjgi+bCEVWlaRuOIwR0zyurv92SOA3HWqAZpBJT2xg6YwrnL2uCWNZiDBdEZRmvNkM7id3qhqsOLpQZ+4ntThonkNj7+4oRNc/MkIIdSQftEluk8LIG07EKEiPiusmeaa5Uywd3OK49WKxCZ83rbIi2MTC1fXij1CVizJUrB+Z5RnHAv/1xL3kprYLmZBRlq5Buydr7Eg==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3512</Words>
  <Characters>20021</Characters>
  <Application>Microsoft Office Word</Application>
  <DocSecurity>0</DocSecurity>
  <Lines>166</Lines>
  <Paragraphs>46</Paragraphs>
  <ScaleCrop>false</ScaleCrop>
  <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 Rawson</dc:creator>
  <cp:lastModifiedBy>Hanna Kryszewska</cp:lastModifiedBy>
  <cp:revision>5</cp:revision>
  <dcterms:created xsi:type="dcterms:W3CDTF">2023-02-27T10:57:00Z</dcterms:created>
  <dcterms:modified xsi:type="dcterms:W3CDTF">2023-02-27T10:58:00Z</dcterms:modified>
</cp:coreProperties>
</file>